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Филологическая герменевтика </w:t>
      </w:r>
      <w:r>
        <w:rPr>
          <w:rFonts w:cs="Times New Roman" w:ascii="Times New Roman" w:hAnsi="Times New Roman"/>
          <w:b/>
          <w:bCs/>
          <w:caps/>
          <w:sz w:val="28"/>
          <w:szCs w:val="28"/>
          <w:lang w:val="en-US"/>
        </w:rPr>
        <w:t>vs</w:t>
      </w: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 теория и практика литературного перевода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Миронова Н.Н.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Высшая школ</w:t>
      </w:r>
      <w:r>
        <w:rPr>
          <w:rFonts w:cs="Times New Roman" w:ascii="Times New Roman" w:hAnsi="Times New Roman"/>
          <w:sz w:val="28"/>
          <w:szCs w:val="28"/>
          <w:lang w:eastAsia="en-US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перевода МГУ имени М.В. Ломоносова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постановки проблем, которые будут рассмотрены в докладе, необходимо констатировать следующие положения: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Теория и практика перевода, как междисциплинарная дисциплина, охватывает область механизмов выбора переводческого решения в области лингвистики (лингвистическое переводоведение), теории литературы (литературоведческое переводоведение), когнититологии (когнитивное переводоведение). В истории переводоведения лингвистическое переводоведение сыграло важную роль в развитии теории и практики перевода, основываясь на сравнительно-сопоставительном языкознании/ контрастивной/компаративной лингвистике. Коссериу замечает, что «… и идеальная контрастивная лингвистика не была бы в состоянии дать абсолютно все для перевода», так как искусство перевода зависит не столько от эквивалентностей языковых средств, сколько от соответствия текстов/дискурсов,  – именно здесь возникают новые смыслы и преобразуются старые. Интерпретацией смыслов  занимается ф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 xml:space="preserve">илологическая герменевтика – научная дисциплина, изучающая процессы понимания теологического, а позже и литературного текста. По Г.И. Богину, пониманием текста обычно называют обращение опыта человека на текст с целью освоения его содержательности.  Вместе с тем, Г.И. Богин отмечает, что «и литературоведение, и герменевтика, и лингвистика ориентируют на понимание текста, но понимание это дефектно без единства каждой данной дисциплины с двумя остальными». Междисциплинарная предметная область, таким образом, формировалась в европейской традиции со второй половины девятнадцатого век. Кроме филологической герменевтики для рассматриваемого круга вопросов для понимания текстов значима </w:t>
      </w:r>
      <w:r>
        <w:rPr>
          <w:rFonts w:cs="Times New Roman" w:ascii="Times New Roman" w:hAnsi="Times New Roman" w:asciiTheme="majorBidi" w:cstheme="majorBidi" w:hAnsiTheme="majorBidi"/>
          <w:i/>
          <w:iCs/>
          <w:sz w:val="28"/>
          <w:szCs w:val="28"/>
        </w:rPr>
        <w:t>семиотическая герменевтика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 xml:space="preserve">, которая пытается  свести процессы понимания «к декодированию знаковых форм в абстракции от человеческой рефлективной способности», и </w:t>
      </w:r>
      <w:r>
        <w:rPr>
          <w:rFonts w:cs="Times New Roman" w:ascii="Times New Roman" w:hAnsi="Times New Roman" w:asciiTheme="majorBidi" w:cstheme="majorBidi" w:hAnsiTheme="majorBidi"/>
          <w:i/>
          <w:iCs/>
          <w:sz w:val="28"/>
          <w:szCs w:val="28"/>
        </w:rPr>
        <w:t>герменевтики родов искусства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>, «отличающиеся от филологической герменевтики лишь характером рассматриваемого материала для понимания». Теория и практика литературного перевода включает в себя, по нашему мнению, театральный/сценический перевод, для которого герменевтика родов искусств имеет первостепенное значение.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ab/>
        <w:t xml:space="preserve">На материале переводов произведений А.С. Пушкина, пьес А.П. Чехова и др. авторов в докладе показано, что филологическая герменевтика создает ту матрицу  для воссоздания актуальной ситуации, которая поможет интерпретировать её смыслы, а значит, приведет к </w:t>
      </w:r>
      <w:r>
        <w:rPr>
          <w:rFonts w:cs="Times New Roman" w:ascii="Times New Roman" w:hAnsi="Times New Roman" w:asciiTheme="majorBidi" w:cstheme="majorBidi" w:hAnsiTheme="majorBidi"/>
          <w:i/>
          <w:iCs/>
          <w:sz w:val="28"/>
          <w:szCs w:val="28"/>
        </w:rPr>
        <w:t>эквивалентному семантическому воплощению</w:t>
      </w: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 xml:space="preserve"> текста на переводящем языке.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8"/>
          <w:szCs w:val="28"/>
        </w:rPr>
        <w:t xml:space="preserve">Цитируются работы Г.И. Богина, Н.О. Гучинской, Э. Косериу и др. авторов.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Статьи Мироновой Н.Н.: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Миронова Н.Н.</w:t>
      </w:r>
      <w:r>
        <w:rPr>
          <w:rFonts w:cs="Times New Roman" w:ascii="Times New Roman" w:hAnsi="Times New Roman"/>
          <w:sz w:val="28"/>
          <w:szCs w:val="28"/>
        </w:rPr>
        <w:t xml:space="preserve"> Михаил Лермонтов – переводчик немецкой классической лирики / / Вестник Московского университета. Серия 22. Теория перевода. 2014. № 4. С. 5-15.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Миронова Н.Н.</w:t>
      </w:r>
      <w:r>
        <w:rPr>
          <w:rFonts w:cs="Times New Roman" w:ascii="Times New Roman" w:hAnsi="Times New Roman"/>
          <w:sz w:val="28"/>
          <w:szCs w:val="28"/>
        </w:rPr>
        <w:t xml:space="preserve"> Когнитивные аспекты перевода художественной литературы / / Вестник Московского университета. Серия 22. Теория перевода. 2013. № 3. С. 77-83.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Миронова Н.Н.</w:t>
      </w:r>
      <w:r>
        <w:rPr>
          <w:rFonts w:cs="Times New Roman" w:ascii="Times New Roman" w:hAnsi="Times New Roman"/>
          <w:sz w:val="28"/>
          <w:szCs w:val="28"/>
        </w:rPr>
        <w:t xml:space="preserve"> Михайло Ломоносов в Германии: история рецепции и история перевода / / Вестник Московского университета. Серия 22. Теория перевода. Москва: Изд-во Моск. ун-та, 2011. № 4. С. 35-42.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Миронова Н.Н.</w:t>
      </w:r>
      <w:r>
        <w:rPr>
          <w:rFonts w:cs="Times New Roman" w:ascii="Times New Roman" w:hAnsi="Times New Roman"/>
          <w:sz w:val="28"/>
          <w:szCs w:val="28"/>
        </w:rPr>
        <w:t xml:space="preserve"> К истории художественной критики: «Der Kirschgarten» — «Вишнёвый сад» А.П. Чехова в Германии / / Вестник Московского университета. Серия 22. Теория перевода. 2010 № 3. С. 55-61.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23682234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link w:val="a3"/>
    <w:uiPriority w:val="99"/>
    <w:qFormat/>
    <w:rPr>
      <w:sz w:val="22"/>
      <w:szCs w:val="22"/>
      <w:lang w:eastAsia="en-US"/>
    </w:rPr>
  </w:style>
  <w:style w:type="character" w:styleId="InternetLink">
    <w:name w:val="Hyperlink"/>
    <w:basedOn w:val="DefaultParagraphFont"/>
    <w:uiPriority w:val="99"/>
    <w:unhideWhenUsed/>
    <w:rsid w:val="00ac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39c2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4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a6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LibreOffice/7.0.4.2$Linux_X86_64 LibreOffice_project/00$Build-2</Application>
  <AppVersion>15.0000</AppVersion>
  <Pages>2</Pages>
  <Words>410</Words>
  <Characters>2954</Characters>
  <CharactersWithSpaces>3367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2023-11-09T21:11:00Z</dcterms:created>
  <dc:creator>Asus</dc:creator>
  <dc:description/>
  <dc:language>en-US</dc:language>
  <cp:lastModifiedBy/>
  <cp:lastPrinted>2023-11-07T10:12:00Z</cp:lastPrinted>
  <dcterms:modified xsi:type="dcterms:W3CDTF">2023-11-10T20:54:29Z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