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0"/>
        <w:jc w:val="center"/>
        <w:rPr>
          <w:b/>
          <w:b/>
          <w:bCs/>
          <w:caps/>
        </w:rPr>
      </w:pPr>
      <w:r>
        <w:rPr>
          <w:rFonts w:cs="Times New Roman" w:ascii="Times New Roman" w:hAnsi="Times New Roman"/>
          <w:b/>
          <w:bCs/>
          <w:i/>
          <w:iCs/>
          <w:caps/>
          <w:sz w:val="28"/>
          <w:szCs w:val="28"/>
        </w:rPr>
        <w:t>Счастье</w:t>
      </w:r>
      <w:r>
        <w:rPr>
          <w:rFonts w:cs="Times New Roman" w:ascii="Times New Roman" w:hAnsi="Times New Roman"/>
          <w:b/>
          <w:bCs/>
          <w:caps/>
          <w:sz w:val="28"/>
          <w:szCs w:val="28"/>
        </w:rPr>
        <w:t xml:space="preserve"> как пример оценочно-символического концепта</w:t>
      </w:r>
    </w:p>
    <w:p>
      <w:pPr>
        <w:pStyle w:val="Normal"/>
        <w:spacing w:lineRule="auto" w:line="360" w:before="0" w:after="0"/>
        <w:jc w:val="center"/>
        <w:rPr>
          <w:b/>
          <w:b/>
          <w:bCs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И.И. Кафтан</w:t>
      </w:r>
    </w:p>
    <w:p>
      <w:pPr>
        <w:pStyle w:val="Normal"/>
        <w:spacing w:lineRule="auto" w:line="240" w:before="0" w:after="0"/>
        <w:ind w:firstLine="709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 xml:space="preserve">Военный институт (инженерно-технический) Военной академии </w:t>
      </w:r>
      <w:r>
        <w:rPr>
          <w:rFonts w:cs="Times New Roman" w:ascii="Times New Roman" w:hAnsi="Times New Roman"/>
          <w:sz w:val="28"/>
          <w:szCs w:val="28"/>
        </w:rPr>
        <w:t>МТО</w:t>
      </w:r>
      <w:r>
        <w:rPr>
          <w:rFonts w:cs="Times New Roman" w:ascii="Times New Roman" w:hAnsi="Times New Roman"/>
          <w:sz w:val="28"/>
          <w:szCs w:val="28"/>
        </w:rPr>
        <w:t xml:space="preserve"> им. генерала армии А.В. Хрулева,г. Санкт-Петербург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Современная когнитивная лингвистика обращается к определению специфики концептуальных структур.</w:t>
      </w:r>
      <w:r>
        <w:rPr/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Концепт </w:t>
      </w:r>
      <w:r>
        <w:rPr>
          <w:rFonts w:cs="Times New Roman" w:ascii="Times New Roman" w:hAnsi="Times New Roman"/>
          <w:i/>
          <w:iCs/>
          <w:sz w:val="28"/>
          <w:szCs w:val="28"/>
        </w:rPr>
        <w:t>счастье</w:t>
      </w:r>
      <w:r>
        <w:rPr>
          <w:rFonts w:cs="Times New Roman" w:ascii="Times New Roman" w:hAnsi="Times New Roman"/>
          <w:sz w:val="28"/>
          <w:szCs w:val="28"/>
        </w:rPr>
        <w:t xml:space="preserve"> относится к сложному типу оценочных и символических концептов. Чтобы выяснить класс, к которому относится изучаемый концепт, необходимо определить его мотивирующие признаки.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eastAsia="Calibri" w:cs="Times New Roman"/>
          <w:kern w:val="0"/>
          <w:sz w:val="28"/>
          <w:szCs w:val="28"/>
          <w14:ligatures w14:val="none"/>
        </w:rPr>
      </w:pPr>
      <w:r>
        <w:rPr>
          <w:rFonts w:eastAsia="Calibri" w:cs="Times New Roman" w:ascii="Times New Roman" w:hAnsi="Times New Roman"/>
          <w:kern w:val="0"/>
          <w:sz w:val="28"/>
          <w:szCs w:val="28"/>
          <w14:ligatures w14:val="none"/>
        </w:rPr>
        <w:t xml:space="preserve">Группа мотивирующих состоит из 16 признаков: ‘благоденствие’, ‘доля’, ‘кусок’, ‘помощь’, ‘своё’, ‘совместное’, ‘соучастие’, ‘сопричастность’, ‘судьба’, ‘удача’, ‘удел’, ‘успех’, ‘участие’, ‘участь’, ‘хорошая’, ‘часть’. </w:t>
      </w:r>
      <w:r>
        <w:rPr>
          <w:rFonts w:cs="Times New Roman" w:ascii="Times New Roman" w:hAnsi="Times New Roman"/>
          <w:kern w:val="0"/>
          <w:sz w:val="28"/>
          <w:szCs w:val="28"/>
          <w14:ligatures w14:val="none"/>
        </w:rPr>
        <w:t xml:space="preserve">Признаки концепта </w:t>
      </w:r>
      <w:r>
        <w:rPr>
          <w:rFonts w:cs="Times New Roman" w:ascii="Times New Roman" w:hAnsi="Times New Roman"/>
          <w:i/>
          <w:iCs/>
          <w:kern w:val="0"/>
          <w:sz w:val="28"/>
          <w:szCs w:val="28"/>
          <w14:ligatures w14:val="none"/>
        </w:rPr>
        <w:t>счастье</w:t>
      </w:r>
      <w:r>
        <w:rPr>
          <w:rFonts w:cs="Times New Roman" w:ascii="Times New Roman" w:hAnsi="Times New Roman"/>
          <w:kern w:val="0"/>
          <w:sz w:val="28"/>
          <w:szCs w:val="28"/>
          <w14:ligatures w14:val="none"/>
        </w:rPr>
        <w:t xml:space="preserve"> </w:t>
      </w:r>
      <w:r>
        <w:rPr>
          <w:rFonts w:eastAsia="Calibri" w:cs="Times New Roman" w:ascii="Times New Roman" w:hAnsi="Times New Roman"/>
          <w:kern w:val="0"/>
          <w:sz w:val="28"/>
          <w:szCs w:val="28"/>
          <w14:ligatures w14:val="none"/>
        </w:rPr>
        <w:t>‘доля’, ‘судьба’, ‘удел’, ‘участь’ являются символическими среди мотивирующих. Все они эксплицируют понятие судьбы в русской лингвокультуре. Счастье – это доля, участь, удел, доставшиеся по судьбе или жребию. Бог или сама жизнь даруют такую судьбу, либо человеку удается вырвать из рук судьбы свое счастье.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eastAsia="Calibri" w:cs="Times New Roman"/>
          <w:kern w:val="0"/>
          <w:sz w:val="28"/>
          <w:szCs w:val="28"/>
          <w14:ligatures w14:val="none"/>
        </w:rPr>
      </w:pPr>
      <w:r>
        <w:rPr>
          <w:rFonts w:eastAsia="Calibri" w:cs="Times New Roman" w:ascii="Times New Roman" w:hAnsi="Times New Roman"/>
          <w:kern w:val="0"/>
          <w:sz w:val="28"/>
          <w:szCs w:val="28"/>
          <w14:ligatures w14:val="none"/>
        </w:rPr>
        <w:t xml:space="preserve">Четыре признака концепта </w:t>
      </w:r>
      <w:r>
        <w:rPr>
          <w:rFonts w:eastAsia="Calibri" w:cs="Times New Roman" w:ascii="Times New Roman" w:hAnsi="Times New Roman"/>
          <w:i/>
          <w:iCs/>
          <w:kern w:val="0"/>
          <w:sz w:val="28"/>
          <w:szCs w:val="28"/>
          <w14:ligatures w14:val="none"/>
        </w:rPr>
        <w:t>счастье</w:t>
      </w:r>
      <w:r>
        <w:rPr>
          <w:rFonts w:eastAsia="Calibri" w:cs="Times New Roman" w:ascii="Times New Roman" w:hAnsi="Times New Roman"/>
          <w:kern w:val="0"/>
          <w:sz w:val="28"/>
          <w:szCs w:val="28"/>
          <w14:ligatures w14:val="none"/>
        </w:rPr>
        <w:t>: ‘благоденствие’, ‘удача’, ‘успех’, ‘хорошая’ являются оценочными среди мотивирующих.</w:t>
      </w:r>
      <w:r>
        <w:rPr/>
        <w:t xml:space="preserve"> </w:t>
      </w:r>
      <w:r>
        <w:rPr>
          <w:rFonts w:eastAsia="Calibri" w:cs="Times New Roman" w:ascii="Times New Roman" w:hAnsi="Times New Roman"/>
          <w:kern w:val="0"/>
          <w:sz w:val="28"/>
          <w:szCs w:val="28"/>
          <w14:ligatures w14:val="none"/>
        </w:rPr>
        <w:t xml:space="preserve">Эти признаки эксплицируют представления о римских богах – Фортуне, Фемиде. При актуализации этих признаков наблюдается смешение древнерусского концепта </w:t>
      </w:r>
      <w:r>
        <w:rPr>
          <w:rFonts w:eastAsia="Calibri" w:cs="Times New Roman" w:ascii="Times New Roman" w:hAnsi="Times New Roman"/>
          <w:i/>
          <w:iCs/>
          <w:kern w:val="0"/>
          <w:sz w:val="28"/>
          <w:szCs w:val="28"/>
          <w14:ligatures w14:val="none"/>
        </w:rPr>
        <w:t>вазнь</w:t>
      </w:r>
      <w:r>
        <w:rPr>
          <w:rFonts w:eastAsia="Calibri" w:cs="Times New Roman" w:ascii="Times New Roman" w:hAnsi="Times New Roman"/>
          <w:kern w:val="0"/>
          <w:sz w:val="28"/>
          <w:szCs w:val="28"/>
          <w14:ligatures w14:val="none"/>
        </w:rPr>
        <w:t xml:space="preserve"> (</w:t>
      </w:r>
      <w:r>
        <w:rPr>
          <w:rFonts w:eastAsia="Calibri" w:cs="Times New Roman" w:ascii="Times New Roman" w:hAnsi="Times New Roman"/>
          <w:i/>
          <w:iCs/>
          <w:kern w:val="0"/>
          <w:sz w:val="28"/>
          <w:szCs w:val="28"/>
          <w14:ligatures w14:val="none"/>
        </w:rPr>
        <w:t>везение</w:t>
      </w:r>
      <w:r>
        <w:rPr>
          <w:rFonts w:eastAsia="Calibri" w:cs="Times New Roman" w:ascii="Times New Roman" w:hAnsi="Times New Roman"/>
          <w:kern w:val="0"/>
          <w:sz w:val="28"/>
          <w:szCs w:val="28"/>
          <w14:ligatures w14:val="none"/>
        </w:rPr>
        <w:t xml:space="preserve">) и исследуемого концепта </w:t>
      </w:r>
      <w:r>
        <w:rPr>
          <w:rFonts w:eastAsia="Calibri" w:cs="Times New Roman" w:ascii="Times New Roman" w:hAnsi="Times New Roman"/>
          <w:i/>
          <w:iCs/>
          <w:kern w:val="0"/>
          <w:sz w:val="28"/>
          <w:szCs w:val="28"/>
          <w14:ligatures w14:val="none"/>
        </w:rPr>
        <w:t>счастье</w:t>
      </w:r>
      <w:r>
        <w:rPr>
          <w:rFonts w:eastAsia="Calibri" w:cs="Times New Roman" w:ascii="Times New Roman" w:hAnsi="Times New Roman"/>
          <w:kern w:val="0"/>
          <w:sz w:val="28"/>
          <w:szCs w:val="28"/>
          <w14:ligatures w14:val="none"/>
        </w:rPr>
        <w:t xml:space="preserve">. Счастье в большинстве контекстов реализует материальный аспект восприятия мира как удачи, успеха, благоденствия, оцениваемых позитивно. В древнерусской лингвокультуре существовало слово </w:t>
      </w:r>
      <w:r>
        <w:rPr>
          <w:rFonts w:eastAsia="Calibri" w:cs="Times New Roman" w:ascii="Times New Roman" w:hAnsi="Times New Roman"/>
          <w:i/>
          <w:iCs/>
          <w:kern w:val="0"/>
          <w:sz w:val="28"/>
          <w:szCs w:val="28"/>
          <w14:ligatures w14:val="none"/>
        </w:rPr>
        <w:t>вазнь</w:t>
      </w:r>
      <w:r>
        <w:rPr>
          <w:rFonts w:eastAsia="Calibri" w:cs="Times New Roman" w:ascii="Times New Roman" w:hAnsi="Times New Roman"/>
          <w:kern w:val="0"/>
          <w:sz w:val="28"/>
          <w:szCs w:val="28"/>
          <w14:ligatures w14:val="none"/>
        </w:rPr>
        <w:t xml:space="preserve">, означавшее «счастье, удача», корень этого слова сохранился в существительном </w:t>
      </w:r>
      <w:r>
        <w:rPr>
          <w:rFonts w:eastAsia="Calibri" w:cs="Times New Roman" w:ascii="Times New Roman" w:hAnsi="Times New Roman"/>
          <w:i/>
          <w:iCs/>
          <w:kern w:val="0"/>
          <w:sz w:val="28"/>
          <w:szCs w:val="28"/>
          <w14:ligatures w14:val="none"/>
        </w:rPr>
        <w:t>везение</w:t>
      </w:r>
      <w:r>
        <w:rPr>
          <w:rFonts w:eastAsia="Calibri" w:cs="Times New Roman" w:ascii="Times New Roman" w:hAnsi="Times New Roman"/>
          <w:kern w:val="0"/>
          <w:sz w:val="28"/>
          <w:szCs w:val="28"/>
          <w14:ligatures w14:val="none"/>
        </w:rPr>
        <w:t xml:space="preserve">. </w:t>
      </w:r>
      <w:r>
        <w:rPr>
          <w:rFonts w:eastAsia="Calibri" w:cs="Times New Roman" w:ascii="Times New Roman" w:hAnsi="Times New Roman"/>
          <w:i/>
          <w:iCs/>
          <w:kern w:val="0"/>
          <w:sz w:val="28"/>
          <w:szCs w:val="28"/>
          <w14:ligatures w14:val="none"/>
        </w:rPr>
        <w:t>Вазнь</w:t>
      </w:r>
      <w:r>
        <w:rPr>
          <w:rFonts w:eastAsia="Calibri" w:cs="Times New Roman" w:ascii="Times New Roman" w:hAnsi="Times New Roman"/>
          <w:kern w:val="0"/>
          <w:sz w:val="28"/>
          <w:szCs w:val="28"/>
          <w14:ligatures w14:val="none"/>
        </w:rPr>
        <w:t xml:space="preserve"> – это проявление божественного начала в судьбе человека. В результате происходит контаминация смыслов из-за вытеснения слова </w:t>
      </w:r>
      <w:r>
        <w:rPr>
          <w:rFonts w:eastAsia="Calibri" w:cs="Times New Roman" w:ascii="Times New Roman" w:hAnsi="Times New Roman"/>
          <w:i/>
          <w:iCs/>
          <w:kern w:val="0"/>
          <w:sz w:val="28"/>
          <w:szCs w:val="28"/>
          <w14:ligatures w14:val="none"/>
        </w:rPr>
        <w:t>вазнь</w:t>
      </w:r>
      <w:r>
        <w:rPr>
          <w:rFonts w:eastAsia="Calibri" w:cs="Times New Roman" w:ascii="Times New Roman" w:hAnsi="Times New Roman"/>
          <w:kern w:val="0"/>
          <w:sz w:val="28"/>
          <w:szCs w:val="28"/>
          <w14:ligatures w14:val="none"/>
        </w:rPr>
        <w:t xml:space="preserve"> из активного употребления.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Символические признаки концепта </w:t>
      </w:r>
      <w:r>
        <w:rPr>
          <w:rFonts w:cs="Times New Roman" w:ascii="Times New Roman" w:hAnsi="Times New Roman"/>
          <w:i/>
          <w:iCs/>
          <w:color w:val="000000" w:themeColor="text1"/>
          <w:sz w:val="28"/>
          <w:szCs w:val="28"/>
        </w:rPr>
        <w:t>счастье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 объединены в четыре блока: 1. символы счастья русской лингвокультуры (‘оберег’, ‘подкова’, ‘цветы’, ‘аист на крыше’, ‘радуга в небе’, ‘Родина’, ‘Сталин’, ‘предметы мещанского быта’); 2. символы счастья других народов (‘амулет’, ‘обувь’, ‘пасхальное яйцо’, ‘бонбоньерка’, ‘ротонда’, ‘цветы’, ‘цветные рыбки’, ‘апельсины’, ‘птицы’, ‘Россия’, ‘(удачная) фотография’); 3. интернациональные символы (‘чистое небо’, ‘награда (в спортивных соревнованиях/ войне)’); 4. индивидуальные символы счастья (‘музыка’, ‘еда’, ‘цвет’, ‘артефакт’). Интернациональные символы частично входят в русскую лингвокультуру.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2"/>
      <w:sz w:val="22"/>
      <w:szCs w:val="22"/>
      <w:lang w:val="ru-RU" w:eastAsia="en-US" w:bidi="ar-SA"/>
      <w14:ligatures w14:val="standardContextua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Free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LibreOffice/7.0.4.2$Linux_X86_64 LibreOffice_project/00$Build-2</Application>
  <AppVersion>15.0000</AppVersion>
  <Pages>2</Pages>
  <Words>275</Words>
  <Characters>2139</Characters>
  <CharactersWithSpaces>2410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2023-11-09T17:16:00Z</dcterms:created>
  <dc:creator>Marina Pimenova</dc:creator>
  <dc:description/>
  <dc:language>en-US</dc:language>
  <cp:lastModifiedBy/>
  <dcterms:modified xsi:type="dcterms:W3CDTF">2023-11-13T20:42:32Z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