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Министерство науки и высшего образования Российской Федерации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Федеральное государственное бюджетное образовательное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учреждение высшего образования 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«Тверской государственный университет»</w:t>
      </w: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77F7E" w:rsidRDefault="00177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177F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15900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дписи Утверждаю 03.12.2024 Антонцев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Программа государственной итоговой аттестации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Аттестационное испытание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«Выполнение и защита выпускной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квалификационной работы»</w:t>
      </w: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Направление подготовки 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41.03.01 Зарубежное регионоведение</w:t>
      </w: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Профиль «Европейские исследования»</w:t>
      </w: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Тверь, 202</w:t>
      </w:r>
      <w:r w:rsidR="005C3823">
        <w:rPr>
          <w:rFonts w:ascii="Times New Roman" w:eastAsia="Times New Roman" w:hAnsi="Times New Roman" w:cs="Times New Roman"/>
          <w:sz w:val="28"/>
          <w:szCs w:val="28"/>
        </w:rPr>
        <w:t>4</w:t>
      </w:r>
      <w:r>
        <w:br w:type="page"/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Вид выпускной квалификационной работы в соответствии с требованиями ФГОС ВО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 выпускной квалификационной работы – выпускная работа бакалавра. 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выпускной квалификационной работы (далее также – ВКР) студентами, обучающимся по программе направления подготовки 41.03.01 «Зарубежное регионоведение» (профиль «Европейские исс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ледования»), является заключительным этапом их теоретической, методической и практической подготовки. Выпускная работа бакалавра представляет собой самостоятельное законченное исследование, в котором на основе профессионально ориентированной теоретической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подготовки решаются конкретные практические задачи, предусмотренные квалификацией бакалавра в соответствии с ФГОС ВО (уровень бакалавриата) по направлению подготовки 41.03.01 «Зарубежное регионоведение» профиль «Европейские исследования».</w:t>
      </w: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Цели и задачи вы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полнения ВКР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подготовке выпускной квалификационной работы студенты используют знания, полученные в процессе обучения, и материалы, собранные ими в период производственной и преддипломной практики. Выполнение выпускной квалификационной работы имеет свое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целью: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углубление и расширение, закрепление и систематизацию теоретических и практических знаний в рамках подготовки бакалавра по направлению «Зарубежное регионоведение» (профиль – «Европейские исследования»), а также применение этих знаний при решени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практических задач, связанных с будущей работой выпускников в государственных и негосударственных структурах и организациях;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совершенствование навыков проведения самостоятельного анализа, формулирования выводов при рассмотрении социально-политических,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социально-культурологических, экономико-правовых и других проблем междисциплинарного характера;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выявление степени подготовленности студента к самостоятельной профессиональной деятельности.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Бакалавр по направлению «Зарубежное регионоведение» должен: 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понимать и уметь сформулировать общую цель исследования и частные процедурные задачи по ее реализации, различия между объектом и предметом исследования; 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знать специфику изучаемой предметной области, характер имеющихся в этой области проблем и основн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подходов к их решению; 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уметь критически анализировать суть и специфику различных взглядов на актуальные вопросы, связанные с исследуемой проблематикой, корректно цитировать источник; 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ясно и аргументировано излагать собственную точку зрения; 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владеть приемами а) поиска информации, в том числе с обращением к электронным ресурсам; б) обработки, классификации, описания эмпирического материала с интерпретацией установленных закономерностей; в) оформления текста в соответствии с современными требова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ниями; г) корректного библиографического описания привлекаемых источников; д) иллюстрирования работы таблицами, схемами, графиками; е) компьютерной презентации результатов исследования.</w:t>
      </w: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Перечень компетенций, которые должны быть продемонстрированы обучающи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мися при подготовке к процедуре защиты и защите ВКР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Бакалавр по направлению подготовки 41.03.01 «Зарубежное регионоведение» (профиль «Европейские исследования») должен продемонстрировать в ВКР необходимый уровень сформированности следующих компетенций:</w:t>
      </w: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Универсальные компетенции</w:t>
      </w:r>
    </w:p>
    <w:tbl>
      <w:tblPr>
        <w:tblStyle w:val="a6"/>
        <w:tblW w:w="9345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761A17">
        <w:tc>
          <w:tcPr>
            <w:tcW w:w="4672" w:type="dxa"/>
          </w:tcPr>
          <w:p w:rsidR="00761A17" w:rsidRDefault="008B1FC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Планируемые результаты освоения образовательной программы (формируемые компетенции)</w:t>
            </w:r>
          </w:p>
        </w:tc>
        <w:tc>
          <w:tcPr>
            <w:tcW w:w="4673" w:type="dxa"/>
          </w:tcPr>
          <w:p w:rsidR="00761A17" w:rsidRDefault="008B1FC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Планируемые результаты обучения </w:t>
            </w:r>
          </w:p>
        </w:tc>
      </w:tr>
      <w:tr w:rsidR="00761A17">
        <w:tc>
          <w:tcPr>
            <w:tcW w:w="4672" w:type="dxa"/>
            <w:vMerge w:val="restart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УК-1. Способен осуществлять поиск, критический анализ и синтез информации, применять системный подход для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решения поставленных задач</w:t>
            </w: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УК-1.1. Анализирует задачу, выделяя ее базовые составляющие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УК-1.3. Осуществляет поиск информации для решения поставленной задачи по различным типам запросов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УК-1.5. Рассматривает и предлагает возможные варианты решения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поставленной задачи, оценивая их достоинства и недостатки</w:t>
            </w:r>
          </w:p>
        </w:tc>
      </w:tr>
      <w:tr w:rsidR="00761A17">
        <w:tc>
          <w:tcPr>
            <w:tcW w:w="4672" w:type="dxa"/>
            <w:vMerge w:val="restart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УК-2.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УК-2.1. Определяет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круг задач в рамках поставленной цели, определяет связи между ними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УК-2.2. Предлагает способы решения поставленных задач и ожидаемые результаты; оценивает предложенные способы с точки зрения соответствия цели проекта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УК-2.3. Планирует реализацию задач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зоне своей ответственности с учетом имеющихся ресурсов и ограничений, действующих правовых норм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УК-2.4. Выполняет задачи в зоне своей ответственности 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соответствии с запланированными результатами и точками контроля, при необходимости корректирует спос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обы решения задач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УК-2.5. Представляет результаты проекта, предлагает возможности их использования и/или совершенствования</w:t>
            </w:r>
          </w:p>
        </w:tc>
      </w:tr>
      <w:tr w:rsidR="00761A17">
        <w:tc>
          <w:tcPr>
            <w:tcW w:w="4672" w:type="dxa"/>
            <w:vMerge w:val="restart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УК-3. Способен осуществлять социальное взаимодействие и реализовывать свою роль в команде</w:t>
            </w: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УК-3.1. Определяет свою роль 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социальном взаимодействии и командной работе, исходя из стратегии сотрудничества для достижения поставленной цели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УК-3.2. При реализации своей роли в социальном взаимодействии и командной работе учитывает особенности поведения и интересы других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участников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УК-3.3. Анализирует возможные последствия личных действий в социальном взаимодействии и командной работе, и строит продуктивное взаимодействие с учетом этого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УК-3.4. Осуществляет обмен информацией, знаниями и опытом с членами команды;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оценивает идеи других членов команды для достижения поставленной цели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УК-3.5. Соблюдает нормы и установленные правила командной работы; несет личную ответственность за результат</w:t>
            </w:r>
          </w:p>
        </w:tc>
      </w:tr>
      <w:tr w:rsidR="00761A17">
        <w:tc>
          <w:tcPr>
            <w:tcW w:w="4672" w:type="dxa"/>
            <w:vMerge w:val="restart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УК-4. Способен осуществлять деловую коммуникацию в устной и письменной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формах на государственном языке Российской Федерации и иностранном(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 языке(ах)</w:t>
            </w: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УК-4.1. Выбирает стиль общения на - русском языке в зависимости от цели и условий партнерства; адаптирует речь, стиль общения и язык жестов к ситуациям взаимодействия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УК-4.2. Ведет деловую переписку на русском - языке с учетом особенностей стилистики официальных и неофициальных писем</w:t>
            </w:r>
          </w:p>
        </w:tc>
      </w:tr>
      <w:tr w:rsidR="00761A17">
        <w:tc>
          <w:tcPr>
            <w:tcW w:w="467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УК-5. 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УК-5.3. Определяет условия интеграции участников межкультурного взаимодействия для достижения поставленной цели с учетом исторического наследия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социальнокультурных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традиций различных социальных групп, этносов и конфессий</w:t>
            </w:r>
          </w:p>
        </w:tc>
      </w:tr>
      <w:tr w:rsidR="00761A17">
        <w:tc>
          <w:tcPr>
            <w:tcW w:w="4672" w:type="dxa"/>
            <w:vMerge w:val="restart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УК-6. Способен управлять своим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УК-6.1. Использует инструменты и методы управления временем при выполнении конкретных задач, проектов, при достижении поставленных целей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УК-6.2. Определяет приоритеты собственной деятельности,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личностного развития и профессионального роста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УК-6.3. Оценивает требования рынка труда и предложения образовательных услуг для выстраивания траектории собственного профессионального роста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УК-6.4.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Строит профессиональную карьеру и определяет стратегию профессионального развития</w:t>
            </w:r>
          </w:p>
        </w:tc>
      </w:tr>
      <w:tr w:rsidR="00761A17">
        <w:tc>
          <w:tcPr>
            <w:tcW w:w="4672" w:type="dxa"/>
            <w:vMerge w:val="restart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УК-7.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УК-7.1. Выбирает здоровье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сберегающие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УК-7.2. Планирует свое рабочее и свободное время для оптимального сочетания физической и умст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венной нагрузки и обеспечения работоспособности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УК-7.3. Соблюдает и пропагандирует нормы здорового образа жизни в различных жизненных ситуациях и в профессиональной деятельности</w:t>
            </w:r>
          </w:p>
        </w:tc>
      </w:tr>
      <w:tr w:rsidR="00761A17">
        <w:tc>
          <w:tcPr>
            <w:tcW w:w="4672" w:type="dxa"/>
            <w:vMerge w:val="restart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УК-8. Способен создавать и поддерживать в повседневной жизни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и 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УК-8.1. Анализирует факторы вред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ного влияния элементов среды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обитания (технических средств, природных и социальных явлений)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УК-8.2. Идентифицирует опасные и вредные факторы в рамках осуществляемой деятельности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УК-8.3. Выявляет угрозу условиям жизнедеятельности, природной среде 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устойчивому развитию общества, связанную с нарушением техники безопасности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УК-8.4. Разъясняет правила поведения при возникновении чрезвычайных ситуаций природного, техногенного происхождения и возникновении военных конфликтов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УК-8.5. Оказывает первую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помощь, описывает способы участия в восстановительных мероприятиях</w:t>
            </w:r>
          </w:p>
        </w:tc>
      </w:tr>
    </w:tbl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Общепрофессиональные компетенции</w:t>
      </w:r>
    </w:p>
    <w:tbl>
      <w:tblPr>
        <w:tblStyle w:val="a7"/>
        <w:tblW w:w="9345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761A17">
        <w:tc>
          <w:tcPr>
            <w:tcW w:w="4672" w:type="dxa"/>
          </w:tcPr>
          <w:p w:rsidR="00761A17" w:rsidRDefault="008B1FC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Планируемые результаты освоения образовательной программы (формируемые компетенции)</w:t>
            </w:r>
          </w:p>
        </w:tc>
        <w:tc>
          <w:tcPr>
            <w:tcW w:w="4673" w:type="dxa"/>
          </w:tcPr>
          <w:p w:rsidR="00761A17" w:rsidRDefault="008B1FC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Планируемые результаты обучения </w:t>
            </w:r>
          </w:p>
        </w:tc>
      </w:tr>
      <w:tr w:rsidR="00761A17">
        <w:tc>
          <w:tcPr>
            <w:tcW w:w="4672" w:type="dxa"/>
            <w:vMerge w:val="restart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ОПК-1. Способен осуществлять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эффективную коммуникацию в мультикультурной профессиональной среде на государственном языке Российской Федерации иностранном(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языке(ах) на основе применения понятийного аппарата по профилю деятельности</w:t>
            </w: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ОПК-1.2. Делает сообщения на профессиональные и общекультурные темы,  аргументирует свою точку зрения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ОПК-1.3. Излагает содержание информационных статей, интервью 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исследований профессиональной направленности, обобщает информацию из различных источников</w:t>
            </w:r>
          </w:p>
        </w:tc>
      </w:tr>
      <w:tr w:rsidR="00761A17">
        <w:tc>
          <w:tcPr>
            <w:tcW w:w="4672" w:type="dxa"/>
            <w:vMerge w:val="restart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ОПК-2. Способен понимать принципы работы современных информационных технологий и использовать их для решения задач профессиональной деятельности</w:t>
            </w: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ОПК-2.1. Осуществляет поиск  источников информации, сопоставляет цель запроса и пути поиска информации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ОПК-2.2. Соотносит информацию с целями исследования, оценивает адекватность источников с точки зрения полноты, достоверности и непротиворечивости информации  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ОПК-2.3. Выделяет главное, сопоставляет различные источники информации, обобщает, делает коррек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тные выводы</w:t>
            </w:r>
          </w:p>
        </w:tc>
      </w:tr>
      <w:tr w:rsidR="00761A17">
        <w:tc>
          <w:tcPr>
            <w:tcW w:w="467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ОПК-3. Способен выделять, систематизировать и интерпретировать содержательно значимые эмпирические данные из потоков информации, а также смысловые конструкции в оригинальных текстах и источниках по профилю деятельности</w:t>
            </w: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ОПК-3.3. Интерпретирует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значимые блоки информации, их взаимосвязи и смысловые конструкции, использованные для их выражения в оригинальных текстах и источниках по различным сферам профессиональной деятельности</w:t>
            </w:r>
          </w:p>
        </w:tc>
      </w:tr>
      <w:tr w:rsidR="00761A17">
        <w:tc>
          <w:tcPr>
            <w:tcW w:w="467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ОПК-4. Способен устанавливать причинно-следственные связи, давать хара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ктеристику и оценку общественно-политическим и социально-экономическим событиям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 процессам, выявляя их связь с экономическим, социальным и культурно-цивилизационным контекстами, а также с объективными тенденциями и закономерностями комплексного развития 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глобальном, макрорегиональном, национально-государственном, региональном и локальном уровнях</w:t>
            </w: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ОПК-4.3. Выделяет тенденции и закономерности развития, прогнозирует дальнейшее развитие событий, формулирует собственное мнение относительно этих событий</w:t>
            </w:r>
          </w:p>
        </w:tc>
      </w:tr>
      <w:tr w:rsidR="00761A17">
        <w:tc>
          <w:tcPr>
            <w:tcW w:w="4672" w:type="dxa"/>
            <w:vMerge w:val="restart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ОПК-5.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Способен формировать дайджесты и аналитические материалы общественно-политической направленности по профилю деятельности для публикации в научных журналах и средствах массовой информации</w:t>
            </w: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ОПК-5.1. Соотносит форму аналитических материалов с целью и аудитори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ей; отражает новизну, актуальность проблемы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ОПК-5.2. Сопоставляет различные источники информации, обобщает материал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ОПК-5.3. Структурирует материал в соответствии с целью и жанром, составляет документацию в соответствии с нормами русского языка</w:t>
            </w:r>
          </w:p>
        </w:tc>
      </w:tr>
      <w:tr w:rsidR="00761A17">
        <w:tc>
          <w:tcPr>
            <w:tcW w:w="4672" w:type="dxa"/>
            <w:vMerge w:val="restart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ОПК-6.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Способен участвовать в организационно-управленческой деятельности и исполнять управленческие решения по профилю деятельности</w:t>
            </w: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ОПК-6.1. Организует командное взаимодействие для решения управленческих задач, организовывает реализацию и контроль за исполнением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решений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ОПК-6.2. Составляет деловые и официальные документы, поддерживает деловые переговоры,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совещания, деловую переписку и электронную коммуникацию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ОПК-6.3. Разрабатывает проектные предложения и специализированные информационные блоки данных в сфере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международных контактов</w:t>
            </w:r>
          </w:p>
        </w:tc>
      </w:tr>
      <w:tr w:rsidR="00761A17">
        <w:tc>
          <w:tcPr>
            <w:tcW w:w="4672" w:type="dxa"/>
            <w:vMerge w:val="restart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ОПК-7. Способен составлять и оформлять документы и отчеты по результатам профессиональной деятельности</w:t>
            </w: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ОПК-7.1. Использует информационные технологии в области обработки текстов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ОПК-7.2. Использует программное обеспечение для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решения переводческих задач</w:t>
            </w:r>
          </w:p>
        </w:tc>
      </w:tr>
    </w:tbl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Профессиональные компетенции</w:t>
      </w:r>
    </w:p>
    <w:tbl>
      <w:tblPr>
        <w:tblStyle w:val="a8"/>
        <w:tblW w:w="9345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761A17">
        <w:tc>
          <w:tcPr>
            <w:tcW w:w="4672" w:type="dxa"/>
          </w:tcPr>
          <w:p w:rsidR="00761A17" w:rsidRDefault="008B1FC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Планируемые результаты освоения образовательной программы (формируемые компетенции)</w:t>
            </w:r>
          </w:p>
        </w:tc>
        <w:tc>
          <w:tcPr>
            <w:tcW w:w="4673" w:type="dxa"/>
          </w:tcPr>
          <w:p w:rsidR="00761A17" w:rsidRDefault="008B1FC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Планируемые результаты обучения </w:t>
            </w:r>
          </w:p>
        </w:tc>
      </w:tr>
      <w:tr w:rsidR="00761A17">
        <w:tc>
          <w:tcPr>
            <w:tcW w:w="467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ПК-1. Способен устанавливать контакты, вести официальную и деловую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документацию, переписку на языке(ах) региона специализации</w:t>
            </w: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ПК-1.1. Правильно использует маркеры социальных отношений, выбирает регистр (официальный / неофициальный) общения, соответствующий конкретной ситуации, выстраивает коммуникации в соответствии с соц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иально-культурными нормами</w:t>
            </w:r>
          </w:p>
        </w:tc>
      </w:tr>
      <w:tr w:rsidR="00761A17">
        <w:tc>
          <w:tcPr>
            <w:tcW w:w="467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ПК-2. Способен проводить анализ политико-экономических реалий стран(ы) региона специализации</w:t>
            </w: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ПК-2.4. Дает оценку основным реалиям  стран(ы) региона специализации, прогнозирует дальнейшее развитие событий</w:t>
            </w:r>
          </w:p>
        </w:tc>
      </w:tr>
      <w:tr w:rsidR="00761A17">
        <w:tc>
          <w:tcPr>
            <w:tcW w:w="4672" w:type="dxa"/>
            <w:vMerge w:val="restart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ПК-3. Способен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обеспечивать организационно-коммуникационную деятельность при сопровождении международных контактов, в том числе переводческую и консультационную</w:t>
            </w: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ПК-3.1. Выстраивает коммуникацию в соответствии с особенностями культуры стран региона специализации. Использу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 нормы этического кодекса переводчика, планирует и предлагает решение для организации и проведения международных мероприятий</w:t>
            </w:r>
          </w:p>
        </w:tc>
      </w:tr>
      <w:tr w:rsidR="00761A17">
        <w:tc>
          <w:tcPr>
            <w:tcW w:w="4672" w:type="dxa"/>
            <w:vMerge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3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ПК-3.2. Логично выстраивает сообщение (в устной или письменной форме) по предложенной теме</w:t>
            </w:r>
          </w:p>
        </w:tc>
      </w:tr>
    </w:tbl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Тематика и порядок утверждения тем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квалификационных работ и научных руководителей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Тематика выпускных квалификационных работ должна соответствовать современному уровню развития науки, в первую очередь, ее гуманитарных, социально-политических и социально-экономических отраслей, уровню развит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теории международных отношений, мировой политики; учитывать практические потребности организаций и учреждений, участвующих в проведении региональной и внешней политики, различных научных, образовательных, информационных и культурных обменов, в реализаци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торгово-экономического сотрудничества. Проблематика выпускной квалификационной работы должна носить актуальный характер и отражать современные подходы к развитию научных идей в области европейский исследований.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Научные руководители назначаются руководите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лем ООП подготовки бакалавров по заявлению студента и утверждаются Ученым Советом факультета. Тема работы разрабатывается научным руководителем совместно со студентом, и утверждаются Ученым Советом факультета. Утверждение тем ВКР и назначение научных руков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одителей оформляется приказом ректора 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позднее, чем за шесть месяцев до начала государственной итоговой аттестации (далее – ГИА). Тема должна быть документально закреплена за выпускником по кафедре приказом ректора не позднее установленных сроков текущег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учебного года. После выбора темы ВКР студент обязан подать письменное заявление на кафедру для ее утверждения.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прохождению ГИА допускается студент, не имеющий академической задолженности и в полном объеме выполнивший учебный план или индивидуальный уче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бный план, включая предзащиту ВКР.</w:t>
      </w: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выполнения и сроки предоставления ВКР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Единый график выполнения выпускной квалификационной работы ежегодно корректируется и утверждается решением кафедры. 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Примерный график выполнения ВКР:</w:t>
      </w:r>
    </w:p>
    <w:tbl>
      <w:tblPr>
        <w:tblStyle w:val="a9"/>
        <w:tblW w:w="9345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5668"/>
        <w:gridCol w:w="3115"/>
      </w:tblGrid>
      <w:tr w:rsidR="00761A17">
        <w:tc>
          <w:tcPr>
            <w:tcW w:w="56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668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Наименование вида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</w:t>
            </w:r>
          </w:p>
        </w:tc>
        <w:tc>
          <w:tcPr>
            <w:tcW w:w="3115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</w:t>
            </w:r>
          </w:p>
        </w:tc>
      </w:tr>
      <w:tr w:rsidR="00761A17">
        <w:tc>
          <w:tcPr>
            <w:tcW w:w="56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668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Формулировка темы ВКР, оформление заявления, назначение научного руководителя, утверждение темы</w:t>
            </w:r>
          </w:p>
        </w:tc>
        <w:tc>
          <w:tcPr>
            <w:tcW w:w="3115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Сентябрь – ноябрь </w:t>
            </w:r>
          </w:p>
        </w:tc>
      </w:tr>
      <w:tr w:rsidR="00761A17">
        <w:tc>
          <w:tcPr>
            <w:tcW w:w="56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668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Разработка плана ВКР, подбор источников и литературы по теме исследования</w:t>
            </w:r>
          </w:p>
        </w:tc>
        <w:tc>
          <w:tcPr>
            <w:tcW w:w="3115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Ноябрь – декабрь </w:t>
            </w:r>
          </w:p>
        </w:tc>
      </w:tr>
      <w:tr w:rsidR="00761A17">
        <w:tc>
          <w:tcPr>
            <w:tcW w:w="56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668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Написание первой главы ВКР</w:t>
            </w:r>
          </w:p>
        </w:tc>
        <w:tc>
          <w:tcPr>
            <w:tcW w:w="3115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Декабрь – январь </w:t>
            </w:r>
          </w:p>
        </w:tc>
      </w:tr>
      <w:tr w:rsidR="00761A17">
        <w:tc>
          <w:tcPr>
            <w:tcW w:w="56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668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Предоставление научному руководителю черновика первой главы ВКР</w:t>
            </w:r>
          </w:p>
        </w:tc>
        <w:tc>
          <w:tcPr>
            <w:tcW w:w="3115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Конец января – начало февраля </w:t>
            </w:r>
          </w:p>
        </w:tc>
      </w:tr>
      <w:tr w:rsidR="00761A17">
        <w:tc>
          <w:tcPr>
            <w:tcW w:w="56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668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Написание второй главы ВКР</w:t>
            </w:r>
          </w:p>
        </w:tc>
        <w:tc>
          <w:tcPr>
            <w:tcW w:w="3115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Февраль – март </w:t>
            </w:r>
          </w:p>
        </w:tc>
      </w:tr>
      <w:tr w:rsidR="00761A17">
        <w:tc>
          <w:tcPr>
            <w:tcW w:w="56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668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Предоставление научному руководителю черновика второй главы ВКР</w:t>
            </w:r>
          </w:p>
        </w:tc>
        <w:tc>
          <w:tcPr>
            <w:tcW w:w="3115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Вторая половина марта </w:t>
            </w:r>
          </w:p>
        </w:tc>
      </w:tr>
      <w:tr w:rsidR="00761A17">
        <w:tc>
          <w:tcPr>
            <w:tcW w:w="56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668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Написание третьей главы, введения и заключения ВКР</w:t>
            </w:r>
          </w:p>
        </w:tc>
        <w:tc>
          <w:tcPr>
            <w:tcW w:w="3115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Март – апрель </w:t>
            </w:r>
          </w:p>
        </w:tc>
      </w:tr>
      <w:tr w:rsidR="00761A17">
        <w:tc>
          <w:tcPr>
            <w:tcW w:w="56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5668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Предоставление научному руководителю чернового текста ВКР (введение, три главы, заключение)</w:t>
            </w:r>
          </w:p>
        </w:tc>
        <w:tc>
          <w:tcPr>
            <w:tcW w:w="3115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Конец апреля</w:t>
            </w:r>
          </w:p>
        </w:tc>
      </w:tr>
      <w:tr w:rsidR="00761A17">
        <w:tc>
          <w:tcPr>
            <w:tcW w:w="56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668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Предоставление исправленного и оформленного полного текста ВКР для проверки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научному руководителю</w:t>
            </w:r>
          </w:p>
        </w:tc>
        <w:tc>
          <w:tcPr>
            <w:tcW w:w="3115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Середина мая</w:t>
            </w:r>
          </w:p>
        </w:tc>
      </w:tr>
      <w:tr w:rsidR="00761A17">
        <w:tc>
          <w:tcPr>
            <w:tcW w:w="56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668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Предзащита ВКР</w:t>
            </w:r>
          </w:p>
        </w:tc>
        <w:tc>
          <w:tcPr>
            <w:tcW w:w="3115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Начало июня </w:t>
            </w:r>
          </w:p>
        </w:tc>
      </w:tr>
      <w:tr w:rsidR="00761A17">
        <w:tc>
          <w:tcPr>
            <w:tcW w:w="56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668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Отправка чистового варианта ВКР на проверку в системе «Антиплагиат»</w:t>
            </w:r>
          </w:p>
        </w:tc>
        <w:tc>
          <w:tcPr>
            <w:tcW w:w="3115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 две недели до ГИА (начало июня)</w:t>
            </w:r>
          </w:p>
        </w:tc>
      </w:tr>
      <w:tr w:rsidR="00761A17">
        <w:tc>
          <w:tcPr>
            <w:tcW w:w="56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668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Предоставление чистового печатного сброшюрованного текста ВКР и электронного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варианта ВКР (CD-диск) на кафедру</w:t>
            </w:r>
          </w:p>
        </w:tc>
        <w:tc>
          <w:tcPr>
            <w:tcW w:w="3115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Середина июня</w:t>
            </w:r>
          </w:p>
        </w:tc>
      </w:tr>
      <w:tr w:rsidR="00761A17">
        <w:tc>
          <w:tcPr>
            <w:tcW w:w="56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668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Прохождение государственной итоговой аттестации (защита ВКР)</w:t>
            </w:r>
          </w:p>
        </w:tc>
        <w:tc>
          <w:tcPr>
            <w:tcW w:w="3115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Вторая половина июня </w:t>
            </w:r>
          </w:p>
        </w:tc>
      </w:tr>
    </w:tbl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Методические рекомендации по выполнению ВКР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Подготовка ВКР осуществляется в соответствии с календарным графиком,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утвержденным на кафедре (см. приложения). График консультаций с научным руководителем разрабатывается в соответствии с утвержденным графиком подготовки ВКР. Совместно с научным руководителем определяются очередность и сроки выполнения отдельных этапов рабо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по сбору материалов, изучению источников и литературы, подготовки отдельных глав и разделов.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первого месяца после закрепления темы студент разрабатывает с помощью научного руководителя определяет цель, задачи, круг вопросов, планируемых к расс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мотрению, составляет план ВКР, совместно с научным руководителем определяются очередность и сроки выполнения отдельных этапов работы по дальнейшему сбору материалов, изучению источников и литературы, написанию отдельных глав и параграфов. Данные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позиции 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ксируются в документации, которую студент самостоятельно оформляет и подписывает у научного руководителя (бланки необходимо взять на кафедре). На основании сданной документации составляется приказ об утверждении тем ВКР.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теоретического материала осу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ществляется студентом самостоятельно и согласовывается с научным руководителем. При этом изучение литературы целесообразно начинать с работ, посвященных общим проблемам, с которыми в различной степени связана тема работы студента. На следующем этапе подбор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 изучения источников и литературы необходимо перейти к документам и публикациям, в которых рассматриваются конкретные аспекты исследуемой проблемы.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работы состоит из четырех основных этапов: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библиографирование, т.е. подбор литературы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теме исследования, при этом часть литературы может быть подобрана при подготовке плана исследования, часть – впоследствии при проработке отдельных вопросов;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каталогизация, т.е. накопление и обработка материала;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классификация собранного материала;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связное описание изученного материала, т.е. написание текста работы.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работы над источниками и литературой рекомендуется использовать различные способы фиксации прочитанной информации, при этом рекомендуется указывать автора, название работы и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ходные данные, т.е. составлять библиографические описания рассматриваемых источников и литературы параллельно с их изучением. Это впоследствии может упростить работу над составлением списка использованных источников и литературы, без труда идентифицировать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цитат у или конспект. При работе с источниками и литературой рекомендуется: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делать выписки (цитаты) из прорабатываемых источников и литературы, а также собственные заметки по вопросам, фактам, событиям, теоретическим подходам и концепциям, относящимся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выбранной теме;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– конспектировать текст, т.е. делать краткую запись содержания прочитанного материала;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составлять аннотацию – краткую характеристику статьи, книги и т.д. с точки зрения ее назначения, содержания, формы и других особенностей. Аннотация оф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ормляется с целью ответа на вопрос, о чем говорится в статье, и должна давать общее представление о материале, что поможет при написании обзора литературы и источников во введении работы. При составлении аннотации следует использовать следующие выражения: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«Статья/ книга/ монография посвящена теме/ вопросу…». Далее необходимо перечислить круг вопросов или проблем, которые затрагиваются в тексте: «В статье/ книге анализируются (освещаются, описываются, разбираются, раскрываются, рассматриваются) следующие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блемы; дается анализ (характеристика, описание); приводятся результаты; излагается теория (история, методика, проблема); исследуется вопрос (проблема, процесс, зависимость, свойства) и т.д.». В аннотации необходимо отметить, для кого предназначается текст: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«Статья предназначена для специалистов в области/ представляет интерес для…». Язык аннотации должен быть литературным, лаконичным, простым и ясным.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ознакомления с подобранными источниками и литературой следует их обработка, предполагающая систематиз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ацию собранного материала по различным аспектам исследуемой темы, времени издания материала, основным теоретическим подходам в исследовании соответствующей темы. Такая работа позволяет определить окончательную структуру работы и составить ее развернутый 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ан, который обеспечивает последовательность изложения материала.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написании текста ВКР необходимо отделять общеизвестное от того, что носит самостоятельный, исследовательский характер. Нельзя все подавать как результат собственных изысканий: это говорит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о недостаточном знании литературы или 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недобросовенности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автора, который не делает ссылок на использованную литературу. 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Особое внимание должно быть обращено на тщательность и полноту приводимых цитат. При изложении спорных вопросов необходимо приводить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мнения различных авторов. Если в работе рассматривается точка зрения какого-либо автора, его мысль необходимо излагать полностью, без сокращений, т.е. приводить цитаты. Недопустимым является приведение в тексте ВКР части высказывания какого-либо автора,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как это может привести к искажению мысли цитируемого. В то же время необходимо помнить, что большое количество использованных цитат говорит о том, что студен не способен изложить существо вопроса своими словами.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ВКР всегда должны иметь место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критическая оценка анализируемых концепций и исследуемых вопросов, самостоятельные суждения, подкрепленные аргументами и примерами. Существуют общие формулировки для выражения отношения к дискуссионным, по мнению автора ВКР, теоретическим подходам и высказ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ываниям: «Трудно согласиться с точкой зрения…», «Вызываем сомнение, что…», «Эта точка зрения вызывает возражение, поскольку…», «Представляется правомерным мнение о том, что» и т.д.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современных научных работах общепринятым правилом стало оформление авторс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 во множественном числе (вместо «я» используется местоимение «мы»). Считается, что выражение авторства как формального коллектива с руководителем придает большую объективность изложению. Кроме местоимения «мы» возможно применение различных форм изложени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от третьего лица (например, автор считает…), предложение со страдательным залогом (например, в данной работе применен комплексный подход…). Важными качествами, определяющими стиль работы, является точность, ясность и краткость изложения материала. необхо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димо исключить возможность двойственного толкования приводимых фраз и мыслей. 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подготовки ВКР спорные и требующие прояснения вопросы обсуждаются на консультациях с научным руководителем в соответствии с графиком. При этом следует избегать двух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райностей: либо вообще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пренебрегать консультациями научного руководителя, предоставляя ему готовую работу, либо попытаться получить от научного руководителя в готовом виде развернутый план и всю литературу, не проявляя самостоятельного подхода. На консульт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ациях необходимо четко понимать, что подвергается критике (структура работы, стиль изложения и пр.) и что нужно сделать, чтобы исправить существующие недостатки. К встрече с научным руководителем следует готовиться заранее, составив список вопросов и пробл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для обсуждения.</w:t>
      </w: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Рекомендуемый объем, структура работы, требования к содержанию ВКР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 выпускной квалификационной работы бакалавра должен составлять не менее 40 и не более 60 страниц печатного текста через 1,5 интервал без учета страниц с указанием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сточников и литературы. Работа может выполняться как на русском, так и на иностранном языке (по согласованию с научным руководителем).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выпускной квалификационной работы должна включать:</w:t>
      </w:r>
    </w:p>
    <w:p w:rsidR="00761A17" w:rsidRDefault="008B1F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титульный лист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установленного образца (см. приложение 1);</w:t>
      </w:r>
    </w:p>
    <w:p w:rsidR="00761A17" w:rsidRDefault="008B1F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(должно точно воспроизводить названия всех структурных элементов ВКР) (см. приложение 2);</w:t>
      </w:r>
    </w:p>
    <w:p w:rsidR="00761A17" w:rsidRDefault="008B1F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введение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(обосновываются актуальность темы, дается краткое обоснование выбора темы, определяются цель и задачи ВКР, формулируются объект и предмет исследован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делается обзор источников и литературы, указываются методы исследования, приводится краткое описание структуры работы, хронологические рамки проведенного исследования; помимо краткого анализа научных трудов по выбранной теме во введении также могут быт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изложены основные взгляды на проблематику, выделен круг еще не решенных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вопросов; могут разъясняться исходные теоретические положения и основная терминология, используемые в ВКР);</w:t>
      </w:r>
    </w:p>
    <w:p w:rsidR="00761A17" w:rsidRDefault="008B1F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основную часть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совокупности глав и параграфов (рекомендуемое количество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 ВКР – три: первая глава может носить характер теоретического обзора, раскрывать общие теоретические положения, научные взгляды и подходы к рассмотрению изучаемой проблемы; вторая и третья главы могут носить практико-ориентированный характер и раскрыва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специфику решаемой проблемы, анализ статистических и нормативно-правовых документов, существующие тенденции и взаимосвязи по изучаемому вопросу; главы подразделяются на параграфы – структурные части работы, раскрывающие более узкие вопросы изучаемой 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взаимоувязанные с поставленными задачами ВКР и способствующие достижению общей цели ВКР; между главами / параграфами должна быть смысловая преемственность; в конце каждой главы необходимо делать выводы, отражающие основные умозаключения и соотносящиеся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поставленными задачами);</w:t>
      </w:r>
    </w:p>
    <w:p w:rsidR="00761A17" w:rsidRDefault="008B1F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заключение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(обобщенно излагаются главные выводы, к которым пришел автор; они должны отражать достижение общей цели и решение практических задач ВКР; выводы должны быть нетривиальными, неочевидными и в лаконичной форме содержать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роделанные в ходе подготовки ВКР рассуждения);</w:t>
      </w:r>
    </w:p>
    <w:p w:rsidR="00761A17" w:rsidRDefault="008B1F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список использованных источников и литературы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(см. приложение 3);</w:t>
      </w:r>
    </w:p>
    <w:p w:rsidR="00761A17" w:rsidRDefault="008B1F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список использованных словарей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 необходимости);</w:t>
      </w:r>
    </w:p>
    <w:p w:rsidR="00761A17" w:rsidRDefault="008B1FC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приложения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 необходимости).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содержанию ВКР предъявляются следующие общие требования.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1) ВКР должна носить аналитический характер с элементами описания.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2) Текст ВКР должен представлять собой логически выстроенное и завершенное самостоятельное исследование студентом актуальной научной проблемы и решения практических задач.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3) ВКР должна име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четкую структуру, последовательно раскрывающую отдельные вопросы в соответствии с поставленными целью и задачами и позволяющую проследить ход исследования автора.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4) Текст ВКР должен быть построен на основе оригинального изложения материала студентом,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одержать собственные мысли автора, подкрепленные соответствующими научными фактами. 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5) ВКР должно основываться на достоверном отечественном и зарубежном научном, статистическом, нормативно-правовом материале, учитывать актуальные проводимые исследования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теме ВКР. Использование источников и литературы на иностранных языках является обязательным требованием для студентов-выпускников. Под достоверностью понимается опора на первоисточник при оперировании фактами и умозаключениями. Достоверность информации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вляется показателем ее качества, свидетельствует о высоком уровне подготовки изучаемого вопроса.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6) ВКР должна иметь междисциплинарный характер, что подразумевает наличие в работе анализа исследуемой проблемы с позиций различных наук, при этом необходимо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преобладание в работе одного подхода, отражающего основную позицию автора к рассматриваемой проблеме.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7) ВКР бакалавра должна содержать научно-справочный аппарат: подстрочные ссылки и список использованных источников и литературы, оформленные в соответстви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 библиографическими требованиями. Правила оформления библиографического материала ВКР: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подстрочные ссылки наличествуют во всех случаях, когда приводятся высказывания глав правительств и государств, используются официальные документы государств,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народных организаций;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б) обязательно оформление подстрочными ссылками цитат, цифр, других конкретных данных, приводимых в тексте и заимствованных из источников и литературы;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в подстрочных ссылках на монографии указываются с соблюдением принятой пунктуац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фамилия и инициалы авторов /автора/, заглавие работы, место и год издания, страница. Записи располагаются по алфавиту фамилий авторов и первых слов заглавий Авторы-однофамильцы следуют друг за другом по алфавиту первых слов заглавий произведений или в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ронологическом порядке; в пределах одного года издания также используется алфавитный принцип;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в ссылках на статьи, опубликованные в периодических изданиях и сборниках, после фамилии и инициалов автора, названия работы, приводятся название и выходные 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издания; обязательно указываются страницы данной статьи;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д) в ссылках на газеты указываются название газеты, дата, месяц, год;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 в ссылках на архивные документы указываются название архива, номер фонда, описи дела, листа.</w:t>
      </w: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Требования к оформлению ВКР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Текст ВКР должен быть подготовлен в электронном и печатном виде с использованием шрифта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Times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Roman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кегль – 14 пунктов, междустрочный интервал 1,5. 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Выравнивание текста должно осуществляться по ширине страницы с учетом следующих полей: левое –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см, правое – 1,5 см, верхнее и нижнее – 2 см.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По тексту документов необходимо соблюдать принцип «красной строки», позволяющий отделить смысловые части работы (абзацы) друг от друга. Отступ абзаца – 1,25 см от края основного текста. 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Допускается испо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льзование курсива для смыслового акцента на фразе или высказывании, а также полужирного шрифта для выделения заголовков.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5. При оформлении материала в формате нумерованных или маркированных списков допускается применение соответствующих инструментов тексто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вого редактора. При этом выступ маркированного или нумерованного списка не должен превышать размера двух отступов абзаца (2,5 см).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Нумерация страниц документов исчисляется с первого (титульного) листа, но производится со второй страницы (оглавления). 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мерация страниц является сквозной по всему тексту, выравнивание – по центру вверху или внизу страницы, шрифт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Times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Roman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кегль – 14. 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Текст необходимо писать на одной стороне листа стандартного формата А4 (210х297 мм).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Нумерация глав и парагра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фов производится арабскими цифрами. Для глав рекомендуется использовать обозначение «Глава» с соответствующим номером и наименованием главы. Для параграфов рекомендуется последовательная нумерация в соответствии с номером главы: «1.1.», «1.2.», «.1.3.» и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.д. Введение, главы, заключение, список использованных источников и литературы необходимо начинать с новой страницы, для параграфов отступ с новой страницы не делается.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использованных источников и литературы составляется в строгой последовательности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разделам «Источники» и «Литература» (см. приложение 3).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Источники выстраиваются в следующем порядке:</w:t>
      </w:r>
    </w:p>
    <w:p w:rsidR="00761A17" w:rsidRDefault="008B1FC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Официальные документы РФ в хронологическом порядке: а) международные акты, ратифицированные Россией; б) Конституция России; в) кодексы; г) федеральные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законы; д) указы Президента России; е) постановления Правительства России; ж) приказы, письма и пр. указания отдельных федеральных министерств и ведомств; з) законы субъектов РФ; и) распоряжения губернаторов; к) распоряжения областных (республиканских) пра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вительств; л) судебная практика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(постановления Верховного и прочих судов); м) законодательные акты, утратившие силу.</w:t>
      </w:r>
    </w:p>
    <w:p w:rsidR="00761A17" w:rsidRDefault="008B1FC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Официальные документы международных организаций и союзов (СНГ, ООН, ЕС. ОБСЕ, НАТО и др.).</w:t>
      </w:r>
    </w:p>
    <w:p w:rsidR="00761A17" w:rsidRDefault="008B1FC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Законодательные и другие нормативно-правовые акт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отчёты и статистические сборники, справочные и методические материалы (правила и инструкции);</w:t>
      </w:r>
    </w:p>
    <w:p w:rsidR="00761A17" w:rsidRDefault="008B1FC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Публикации документов (сборники и публикации в журналах и газетах);</w:t>
      </w:r>
    </w:p>
    <w:p w:rsidR="00761A17" w:rsidRDefault="008B1FC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Обзоры, каталоги, описи.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Литература следует после источников: сначала по алфавиту приводитс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список литературы на русском языке, затем – на иностранных языках по латинскому алфавиту с последовательным указанием автора, названия, места издания, издательства, года, страниц (если это статья). Список источников и литературы имеет единую (сквозную)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умерацию. Материалы из Интернета, имеющие указания на автора и название статьи, не следует оформлять в виде отдельной группы источников, а необходимо включать в общий список источников и литературы, при этом обязательно должна быть приведена конечная ссылк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 ресурс и в скобках указана дата обращения к нему.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Библиографические описания следует составлять в соответствии с типом издания (книга, многотомное издание, автореферат диссертации, диссертация, статьи из научных журналов или периодических изданий, нор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мативно-правовые документы и пр.) следующим образом: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для книг одного или двух авторов указывается фамилии и инициалы все авторов через запятую: 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Лопатин В.В. Рождение слова: неологизмы и окказиональные образования. – М.: Наука, 1973. – 152 с.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книг трех и более авторов указывается фамилия первого, а после заголовка указываются все авторы через косую черту: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Бут У.К. Исследование. Шестнадцать уроков для начинающих авторов/ У.К. Бут, Г. Дж.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Коломб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Дж. М. Уильямс. – М.: Флинта, 2007. – 360 с.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 дл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издания под редакцией фамилия и инициалы редактора указываются после названия: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Региональная экономика: учеб.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пособ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для вузов/ Под ред. Т.Г. Морозовой. – М.: Юнити, 2001. – 424 с.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для монографий указываются фамилия и инициалы автора, заглавие работы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ее вид, через косую черту приводятся сведения об ответственности, далее указываются место, издательство, год издания, количество страниц: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Лизунова И.В. Медиапространство российского региона: книга, пресса, радио, телевидение, интернет (на примере Сибири 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Дальнего Востока 1991 – 2011 гг.): монография / И.В. Лизунова. – Новосибирск: СГГА, 2013. – 300 с.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для авторефератов диссертаций: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Касаткина Т.Ю. Специфика развития значения слова в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геронтогенезе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автореф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дис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... канд. филол. наук: 10.02.19 / Т.Ю. Кас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аткина; Удмурт. гос. ун-т. – Ижевск, 2007. – 24 с.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для диссертаций: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Кибрик А.А. Анализ дискурса в когнитивной перспективе: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дис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…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докт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филол. наук: 10.02.19 / А.А. Кибрик; Ин-т языкознания РАН. – Москва, 2003. – 90 с.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для нормативно-правовых докумен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следует указывать его полное наименование, дату выхода, номер, указывать сведения об изменениях и дополнениях, через двойную косую черту приводится конечная ссылка на справочно-правовую систему или иной источник публикации: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Об общественных объединениях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 федеральный закон от 19.05.1995 № 82-ФЗ: измен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и доп. 20.12.2017 [Электронный ресурс] // Режим доступа: http://www.consultant.ru/document/cons_doc_LAW_6693/ (дата обращения: 20.06.2018).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для составных частей документа (статей из сборников, журналов,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газет, материалов конференции) указываются фамилия и инициалы автора, название работы, через две косые черты приводятся наименование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периодического или другого печатного издания, год, номер, страницы используемой работы: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Набиева Е.А. Новые слова в медиакул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ьтуре современности // Журналистский ежегодник. – 2012. – № 1. – С. 117-119.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для электронных сетевых ресурсов необходимо указывать фамилию и инициалы авторов, заглавие материала, а также конечный адрес сетевого ресурса и дату обращения к нему: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Костомаро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 П.И. Антропоцентризм как важнейший признак современной лингвистики [Электронный ресурс] // Режим доступа: http://vestnik.kemsu.ru/jour/article/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view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/758/754 (дата обращения: 23.04.2017).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длинных сетевых адресов допускается использование разрывов по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ексту ссылки для перехода на новую строку во избежание «пустых» пространств.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для источников и литературы на иностранном языке необходимо придерживаться общих требований к оформлению библиографических записей с использованием соответствующих аббревиатур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обозначений на иностранном языке:</w:t>
      </w:r>
    </w:p>
    <w:p w:rsidR="00761A17" w:rsidRPr="005C3823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 w:rsidRPr="005C38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Gardner H. The mind’s new science: A history of the cognitive revolution. – N.Y.: Basic Books, 1985. – 448 p.</w:t>
      </w:r>
    </w:p>
    <w:p w:rsidR="00761A17" w:rsidRPr="005C3823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</w:pPr>
      <w:r w:rsidRPr="005C38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Feldman J.A. From Molecule to Metaphor: A neural theory of language [Electronic resource] // URL:  http://www.</w:t>
      </w:r>
      <w:r w:rsidRPr="005C38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chaz.org/Courses/ Sapir_Whorf/Brain_ language/Neural_Theory.pdf (date of application: 23.08.2016).</w:t>
      </w:r>
    </w:p>
    <w:p w:rsidR="00761A17" w:rsidRPr="005C3823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и сроки прохождения предзащиты ВКР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Подготовка к государственной итоговой аттестации в форме защиты ВКР и ее проведение осуществляется в соответствии с «Положением о проведении государственной итоговой аттестации обучающихся по основных образовательным программам бакалавриата, магистратуры,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специалитета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ТвГУ» от 30 апреля 2020 г. 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Дата предзащиты ВКР определяется выпускающей кафедрой и доводится до сведения студентов не позднее, чем за 4 недели до назначенной даты защиты.  Обучающиеся обязаны предоставить полный черновой вариант, одобренный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научным руководителем выпускной квалификационной работы не позднее, чем за 4 недели до проведения защиты. Процедура предзащиты проводится не позднее, чем за 3 недели до даты защиты и включает доклад по результатам исследования, отчет о публикациях, а такж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представлении результатов научных исследований на научных и научно-практических конференциях. По результатам предзащиты комиссия принимает решение о допуске к защите ВКР. 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Обязательным условием допуска выпускника бакалавриата к защите ВКР является наличи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заключения о прохождении процедуры проверки на предмет выявления заимствований через систему «Антиплагиат» в организованном порядке. Секретарю государственной экзаменационной комиссии (далее – ГЭК) за две недели до назначенной защиты ВКР представляется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екст работы в электронной форме. Секретарь ГЭК отправляет папку с текстами ВКР бакалавров для проверки в Методический центр компьютеризации учебного процесса (МЦКУП) на предмет выявления заимствований.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Тексты ВКР, за исключением работ, содержащих сведения,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составляющие государственную тайну, проверяются на объем заимствования и размещаются в электронно-библиотечной системе университета. По результатам проверки ВКР бакалавров составляется сводная таблица с процентами оригинальности. Содержательное заимствова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определяется научным руководителем ВКР с учетом результатов проверки ВКР в системе «Антиплагиат», и отражается в отзыве научного руководителя. 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результатов процедуры предзащиты, заключения об оригинальности работы, отзыва научного руководи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теля руководитель ООП делает запись на титульном листе ВКР «Допущен(а) к защите». Бумажный вариант ВКР с визой руководителя ООП, сводная таблица с процентами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оригинальности, отзыв научного руководителя передаются секретарем в ГЭК не позднее чем за 2 календ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арных дня до дня защиты ВКР. При проведении ГИА с применением ЭО и ДОТ ГЭК может работать со скан-копиями документов. Обучающийся имеет право на ознакомление с отзывом научного руководителя не позднее чем за 5 календарных дней до дня защиты ВКР.</w:t>
      </w: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Регламент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защиты ВКР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Защита ВКР осуществляется в соответствии с «Положением о проведении государственной итоговой аттестации обучающихся по основных образовательным программам бакалавриата, магистратуры,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специалитета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ТвГУ» от 30 апреля 2020 г.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Защита выпускных кв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алификационных работ проводится на заседании государственной экзаменационной комиссии. Форма проведения государственного квалификационного экзамена в форме защиты ВКР – устная. Время, выделяемое обучающемуся на выступление перед комиссией – до 20 минут.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оцедура защиты, как правило, включает доклад автора ВКР – презентацию (не более 7–10 минут), вопросы членов комиссии и ответы автора ВКР, отзыв научного руководителя, заключительное слово автора ВКР. Студент допускается к защите приказом Ректора. На защиту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выпускной квалификационной работы в ГЭК должны быть предоставлены следующие документы:</w:t>
      </w:r>
    </w:p>
    <w:p w:rsidR="00761A17" w:rsidRDefault="008B1F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зачетная книжка;</w:t>
      </w:r>
    </w:p>
    <w:p w:rsidR="00761A17" w:rsidRDefault="008B1F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сброшюрованная подписанная выпускная квалификационная работа;</w:t>
      </w:r>
    </w:p>
    <w:p w:rsidR="00761A17" w:rsidRDefault="008B1F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отзыв научного руководителя.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защите выпускной квалификационной работы бакалавра не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едусмотрена процедура рецензирования. На выпускную квалификационную работу не позднее, чем за 1 неделю до защиты, составляется только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отзыв научного руководителя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который должен отобразить следующие сведения:</w:t>
      </w:r>
    </w:p>
    <w:p w:rsidR="00761A17" w:rsidRDefault="008B1F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работе студента в период подготовки ВКР;</w:t>
      </w:r>
    </w:p>
    <w:p w:rsidR="00761A17" w:rsidRDefault="008B1F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ответствии содержания ВКР целевой установке;</w:t>
      </w:r>
    </w:p>
    <w:p w:rsidR="00761A17" w:rsidRDefault="008B1F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научном уровне, полноте, качестве и новизне разработки темы;</w:t>
      </w:r>
    </w:p>
    <w:p w:rsidR="00761A17" w:rsidRDefault="008B1F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степени самостоятельности, инициативы и творчества студента;</w:t>
      </w:r>
    </w:p>
    <w:p w:rsidR="00761A17" w:rsidRDefault="008B1F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умениях и навыках, полученных студентом во время работы (умение работать с литературой и источниками, навыки произведения расчетов, анализа полученных результатов, обобщения, умение делать научные и практические выводы и т.д.);</w:t>
      </w:r>
    </w:p>
    <w:p w:rsidR="00761A17" w:rsidRDefault="008B1F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области возможного исп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ользования результатов ВКР и ее апробации;</w:t>
      </w:r>
    </w:p>
    <w:p w:rsidR="00761A17" w:rsidRDefault="008B1F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 уровне сформированности требуемых компетенций;</w:t>
      </w:r>
    </w:p>
    <w:p w:rsidR="00761A17" w:rsidRDefault="008B1F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результатах проверки работы бакалавра на предмет выявления использования заимствованного материала без ссылки на автора и (или) источник заимствования.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имеет право на ознакомление с отзывом не позднее чем за 5 календарных дней до дня защиты ВКР.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результатов процедуры предзащиты, заключения об оригинальности работы, отзыва научного руководителя руководитель ООП делает запись на титульном 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 ВКР «Допущен(а) к защите». Бумажный вариант ВКР с визой руководителя ООП, заключение об оригинальности и отзыв передаются в ГЭК не позднее чем за 2 календарных дня до дня защиты ВКР.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Особенности проведения ГИА для обучающихся из числа лиц с ограниченны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возможностями здоровья и инвалидов регламентируются «Положением о проведении государственной итоговой аттестации обучающихся по основным образовательным программам бакалавриата, магистратуры,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специалитета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ТвГУ» от 30 апреля 2020 г.</w:t>
      </w: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Возможность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использования дистанционной формы прохождения предзащиты и защиты ВКР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соответствии с «Положением о проведении государственной итоговой аттестации обучающихся по основным образовательным программам бакалавриата, магистратуры,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специалитета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ТвГУ» от 30 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реля 2020 г. защита ВКР по приказу ректора может проводиться с применением электронного обучения (ЭО) и дистанционных образовательных технологий (ДОТ) в следующих случаях: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при реализации сетевых образовательных программ, если это предусмотрено условиями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договора; 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 связи с особыми обстоятельствами, не позволяющими обучающимся, членам / председателям экзаменационной и апелляционной комиссий присутствовать в месте проведения ГИА. В этом случае решение принимается ректором для всех обучающихся университет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без подачи заявлений с их стороны;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 связи с невозможностью обучающегося лично присутствовать в месте проведения ГИА, при наличии уважительных причин. В этом случае обучающийся должен подать заявление на имя ректора с обоснованием необходимости организ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 и проведения ГИА с применением ЭО, ДОТ (в режиме видеоконференции) с приложением подтверждающих документов, указанных в заявлении причин не позднее, чем за 10 дней до её начала.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ГИА с применением ЭО и ДОТ взаимодействие между обучающими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 членами ГЭК, председателем ГЭК и секретарем ГЭК осуществляется с помощью информационно-телекоммуникационных сетей, допускается удаленная работа не только обучающихся, но и членов ГЭК. При проведении ГИА с применением ЭО и ДОТ, в режиме видеоконференции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секретарь ГЭК перед началом процедуры защиты осуществляет идентификацию личности обучающегося одним из следующих способов: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путем предъявления обучающимся для обозрения паспорта или иного документа, удостоверяющего личность, позволяющего четко зафиксиров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фотографию, его фамилию, имя, отчество, дату и место рождения, орган, выдавший документ, а также дату выдачи;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– путем верификации (подтверждения) личности обучающегося с помощью системы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прокторинга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ГЭК принимает решение об оценке на закрытом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заседании.</w:t>
      </w: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Критерии оценивания сформированности компетенций, шкала оценивания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итоговой оценки по защите выпускной работы бакалавра учитываются доклад автора ВКР, ответы на вопросы, отзыв научного руководителя. Главными критериями при оценк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выпускной квалификационной работы являются:</w:t>
      </w:r>
    </w:p>
    <w:p w:rsidR="00761A17" w:rsidRDefault="008B1F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актуальность темы дипломной работы;</w:t>
      </w:r>
    </w:p>
    <w:p w:rsidR="00761A17" w:rsidRDefault="008B1F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значимость разрабатываемой темы;</w:t>
      </w:r>
    </w:p>
    <w:p w:rsidR="00761A17" w:rsidRDefault="008B1F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самостоятельность, творческий характер изучения проблемы;</w:t>
      </w:r>
    </w:p>
    <w:p w:rsidR="00761A17" w:rsidRDefault="008B1F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соответствие содержания дипломной работы заявленной теме, целям и зада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чам, сформулированным автором;</w:t>
      </w:r>
    </w:p>
    <w:p w:rsidR="00761A17" w:rsidRDefault="008B1F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глубина раскрытия темы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междисциплинарность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подхода к рассмотрению проблемы, что подразумевает наличие в содержании работы анализа исследуемой проблемы с позиций исторической, политической, экономической, юридической и други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наук;</w:t>
      </w:r>
    </w:p>
    <w:p w:rsidR="00761A17" w:rsidRDefault="008B1F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обоснованность сделанных автором выпускной квалификационной работы выводов и предложений;</w:t>
      </w:r>
    </w:p>
    <w:p w:rsidR="00761A17" w:rsidRDefault="008B1F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широкое использование литературы на иностранных языках;</w:t>
      </w:r>
    </w:p>
    <w:p w:rsidR="00761A17" w:rsidRDefault="008B1F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правильность оформления и полнота научно-справочного материала;</w:t>
      </w:r>
    </w:p>
    <w:p w:rsidR="00761A17" w:rsidRDefault="008B1FC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и форма вступительного и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ключительного выступлений и ответы выпускника на поставленные вопросы в процессе защиты выпускной работы, умение автора выпускной квалификационной работы ориентироваться в различных аспектах исследуемой проблемы.</w:t>
      </w:r>
    </w:p>
    <w:tbl>
      <w:tblPr>
        <w:tblStyle w:val="aa"/>
        <w:tblW w:w="9345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5664"/>
      </w:tblGrid>
      <w:tr w:rsidR="00761A17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Шкала оценивания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</w:tr>
      <w:tr w:rsidR="00761A17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«Отлично»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репрезентативность собранного материала;</w:t>
            </w:r>
          </w:p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 формулирования целей и задач исследования, определения релевантных методик научного поиска;</w:t>
            </w:r>
          </w:p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владение методами научного исследования;</w:t>
            </w:r>
          </w:p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умение анализировать научные идеи из областей теории международных отношений, сравнительной политологии, экономической теории к исследованию конкретных страновых и региональных проблем.</w:t>
            </w:r>
          </w:p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умение самостоятельно интерпретировать и давать обоснованную оценку 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зличным научным интерпретациям региональных событий, явлений и концепций в национальном, межрегиональном и глобальном контекстах; </w:t>
            </w:r>
          </w:p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владение научным стилем речи, понятийно-терминологическим аппаратом;</w:t>
            </w:r>
          </w:p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аргументированная защита основных положений работы, глуб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ина и полнота ответов на вопросы</w:t>
            </w:r>
          </w:p>
        </w:tc>
      </w:tr>
      <w:tr w:rsidR="00761A17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«Хорошо»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репрезентативность собранного материала;</w:t>
            </w:r>
          </w:p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навык формулирования целей и задач исследования, определения релевантных методик научного поиска;</w:t>
            </w:r>
          </w:p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владение методами научного исследования;</w:t>
            </w:r>
          </w:p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умение анализировать научные идеи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из областей теории международных отношений, сравнительной политологии, экономической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теории к исследованию конкретных страновых и региональных проблем.</w:t>
            </w:r>
          </w:p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умение самостоятельно интерпретировать и давать обоснованную оценку различным научным интерпретациям ре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гиональных событий, явлений и концепций в национальном, межрегиональном и глобальном контекстах;</w:t>
            </w:r>
          </w:p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единичные (негрубые) стилистические и речевые погрешности;</w:t>
            </w:r>
          </w:p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умение защитить основные положения своей работы, ответы на вопросы носят неполный характер, не отлич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аются глубиной</w:t>
            </w:r>
          </w:p>
        </w:tc>
      </w:tr>
      <w:tr w:rsidR="00761A17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«Удовлетворительно»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компилятивность теоретической части работы;</w:t>
            </w:r>
          </w:p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поверхностное знание основных научных концепций, категорий и понятий, отсутствие твердых навыков в оперировании ими;</w:t>
            </w:r>
          </w:p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недостаточное владение методологией и методикой анализа,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неполное представление о разных типах анализа;</w:t>
            </w:r>
          </w:p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недостаточно глубокий анализ материала;</w:t>
            </w:r>
          </w:p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стилистические и речевые ошибки;</w:t>
            </w:r>
          </w:p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посредственная защита основных положений работы, ответы на вопросы носят поверхностный характер</w:t>
            </w:r>
          </w:p>
        </w:tc>
      </w:tr>
      <w:tr w:rsidR="00761A17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«Неудовлетворительно»</w:t>
            </w:r>
          </w:p>
        </w:tc>
        <w:tc>
          <w:tcPr>
            <w:tcW w:w="5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компилятивность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работы;</w:t>
            </w:r>
          </w:p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несамостоятельность анализа;</w:t>
            </w:r>
          </w:p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грубые стилистические и речевые ошибки;</w:t>
            </w:r>
          </w:p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неумение сформулировать и защитить основные положения работы, неспособность отвечать на поставленные вопросы</w:t>
            </w:r>
          </w:p>
        </w:tc>
      </w:tr>
    </w:tbl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Студенту, получившему неудовлетворительную оценку при защите выпускной квалификационной работы, выдается справка об освоении основной образовательной программы по направлению «Европейские исследования». Справка обменивается на диплом в соответствии с решен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 Государственной экзаменационной комиссии после успешной защиты студентом выпускной квалификационной работы.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Процедура апелляции к результатам защиты ВКР или повторного прохождения ГИА регламентируются «Положением о проведении государственной итоговой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ттестации обучающихся по основным образовательным программам бакалавриата, магистратуры,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специалитета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ТвГУ» от 30 апреля 2020 г.</w:t>
      </w:r>
    </w:p>
    <w:p w:rsidR="00761A17" w:rsidRDefault="008B1FC7">
      <w:pPr>
        <w:spacing w:line="259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ind w:firstLine="709"/>
        <w:jc w:val="right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2" w:name="_heading=h.30j0zll" w:colFirst="0" w:colLast="0"/>
      <w:bookmarkEnd w:id="2"/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Приложение 1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Образец оформления титульного листа ВКР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Министерство науки и высшего образования РФ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ФГБОУ ВО «Тверской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государственный университет»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Факультет иностранных языков и международной коммуникации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Направление 41.03.01 «Зарубежное регионоведение»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Профиль «Европейские исследования»</w:t>
      </w: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ВЫПУСКНАЯ КВАЛИФИКАЦИОННАЯ РАБОТА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(ВЫПУСКНАЯ РАБОТА БАКАЛАВРА)</w:t>
      </w: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тему: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</w:t>
      </w: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Автор: 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Ф.И.О</w:t>
      </w: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Научный руководитель: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ученая степень, звание 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8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Ф.И.О.</w:t>
      </w: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b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761A17">
        <w:tc>
          <w:tcPr>
            <w:tcW w:w="467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Допущена к защите.</w:t>
            </w:r>
          </w:p>
        </w:tc>
        <w:tc>
          <w:tcPr>
            <w:tcW w:w="4673" w:type="dxa"/>
          </w:tcPr>
          <w:p w:rsidR="00761A17" w:rsidRDefault="00761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61A17">
        <w:tc>
          <w:tcPr>
            <w:tcW w:w="467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Руководитель ООП:</w:t>
            </w:r>
          </w:p>
        </w:tc>
        <w:tc>
          <w:tcPr>
            <w:tcW w:w="4673" w:type="dxa"/>
          </w:tcPr>
          <w:p w:rsidR="00761A17" w:rsidRDefault="00761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61A17">
        <w:tc>
          <w:tcPr>
            <w:tcW w:w="467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 (_______________)</w:t>
            </w:r>
          </w:p>
        </w:tc>
        <w:tc>
          <w:tcPr>
            <w:tcW w:w="4673" w:type="dxa"/>
          </w:tcPr>
          <w:p w:rsidR="00761A17" w:rsidRDefault="00761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61A17">
        <w:tc>
          <w:tcPr>
            <w:tcW w:w="467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подпись                     Ф.И.О.</w:t>
            </w:r>
          </w:p>
        </w:tc>
        <w:tc>
          <w:tcPr>
            <w:tcW w:w="4673" w:type="dxa"/>
          </w:tcPr>
          <w:p w:rsidR="00761A17" w:rsidRDefault="00761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61A17">
        <w:tc>
          <w:tcPr>
            <w:tcW w:w="4672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«___»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_____________ 20__ г.</w:t>
            </w:r>
          </w:p>
        </w:tc>
        <w:tc>
          <w:tcPr>
            <w:tcW w:w="4673" w:type="dxa"/>
          </w:tcPr>
          <w:p w:rsidR="00761A17" w:rsidRDefault="00761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Тверь 2021</w:t>
      </w:r>
      <w:r>
        <w:br w:type="page"/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ind w:firstLine="709"/>
        <w:jc w:val="right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3" w:name="_heading=h.1fob9te" w:colFirst="0" w:colLast="0"/>
      <w:bookmarkEnd w:id="3"/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Приложение 2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Образец оформления оглавления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ОГЛАВЛЕНИЕ</w:t>
      </w: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c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9"/>
        <w:gridCol w:w="1164"/>
        <w:gridCol w:w="283"/>
        <w:gridCol w:w="284"/>
        <w:gridCol w:w="567"/>
        <w:gridCol w:w="608"/>
        <w:gridCol w:w="225"/>
        <w:gridCol w:w="2994"/>
        <w:gridCol w:w="2410"/>
        <w:gridCol w:w="561"/>
      </w:tblGrid>
      <w:tr w:rsidR="00761A17">
        <w:tc>
          <w:tcPr>
            <w:tcW w:w="1413" w:type="dxa"/>
            <w:gridSpan w:val="2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7371" w:type="dxa"/>
            <w:gridSpan w:val="7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61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61A17">
        <w:tc>
          <w:tcPr>
            <w:tcW w:w="3155" w:type="dxa"/>
            <w:gridSpan w:val="6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Глава 1. Название главы</w:t>
            </w:r>
          </w:p>
        </w:tc>
        <w:tc>
          <w:tcPr>
            <w:tcW w:w="5629" w:type="dxa"/>
            <w:gridSpan w:val="3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561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61A17">
        <w:tc>
          <w:tcPr>
            <w:tcW w:w="249" w:type="dxa"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31" w:type="dxa"/>
            <w:gridSpan w:val="6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 Название параграфа</w:t>
            </w:r>
          </w:p>
        </w:tc>
        <w:tc>
          <w:tcPr>
            <w:tcW w:w="5404" w:type="dxa"/>
            <w:gridSpan w:val="2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61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61A17">
        <w:tc>
          <w:tcPr>
            <w:tcW w:w="249" w:type="dxa"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31" w:type="dxa"/>
            <w:gridSpan w:val="6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1.2. Название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параграфа</w:t>
            </w:r>
          </w:p>
        </w:tc>
        <w:tc>
          <w:tcPr>
            <w:tcW w:w="5404" w:type="dxa"/>
            <w:gridSpan w:val="2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61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761A17">
        <w:tc>
          <w:tcPr>
            <w:tcW w:w="249" w:type="dxa"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31" w:type="dxa"/>
            <w:gridSpan w:val="6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1.3. Название параграфа</w:t>
            </w:r>
          </w:p>
        </w:tc>
        <w:tc>
          <w:tcPr>
            <w:tcW w:w="5404" w:type="dxa"/>
            <w:gridSpan w:val="2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61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761A17">
        <w:tc>
          <w:tcPr>
            <w:tcW w:w="249" w:type="dxa"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gridSpan w:val="4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Выводы по главе</w:t>
            </w:r>
          </w:p>
        </w:tc>
        <w:tc>
          <w:tcPr>
            <w:tcW w:w="6237" w:type="dxa"/>
            <w:gridSpan w:val="4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561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761A17">
        <w:tc>
          <w:tcPr>
            <w:tcW w:w="3155" w:type="dxa"/>
            <w:gridSpan w:val="6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Глава 2. Название главы</w:t>
            </w:r>
          </w:p>
        </w:tc>
        <w:tc>
          <w:tcPr>
            <w:tcW w:w="5629" w:type="dxa"/>
            <w:gridSpan w:val="3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561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761A17">
        <w:tc>
          <w:tcPr>
            <w:tcW w:w="249" w:type="dxa"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31" w:type="dxa"/>
            <w:gridSpan w:val="6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2.1. Название параграфа</w:t>
            </w:r>
          </w:p>
        </w:tc>
        <w:tc>
          <w:tcPr>
            <w:tcW w:w="5404" w:type="dxa"/>
            <w:gridSpan w:val="2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61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761A17">
        <w:tc>
          <w:tcPr>
            <w:tcW w:w="249" w:type="dxa"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31" w:type="dxa"/>
            <w:gridSpan w:val="6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2.2. Название параграфа</w:t>
            </w:r>
          </w:p>
        </w:tc>
        <w:tc>
          <w:tcPr>
            <w:tcW w:w="5404" w:type="dxa"/>
            <w:gridSpan w:val="2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61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761A17">
        <w:tc>
          <w:tcPr>
            <w:tcW w:w="249" w:type="dxa"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31" w:type="dxa"/>
            <w:gridSpan w:val="6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2.3. Название параграфа</w:t>
            </w:r>
          </w:p>
        </w:tc>
        <w:tc>
          <w:tcPr>
            <w:tcW w:w="5404" w:type="dxa"/>
            <w:gridSpan w:val="2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61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</w:tr>
      <w:tr w:rsidR="00761A17">
        <w:tc>
          <w:tcPr>
            <w:tcW w:w="249" w:type="dxa"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gridSpan w:val="4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Выводы по главе</w:t>
            </w:r>
          </w:p>
        </w:tc>
        <w:tc>
          <w:tcPr>
            <w:tcW w:w="6237" w:type="dxa"/>
            <w:gridSpan w:val="4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561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761A17">
        <w:tc>
          <w:tcPr>
            <w:tcW w:w="3155" w:type="dxa"/>
            <w:gridSpan w:val="6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Глава 3. Название главы</w:t>
            </w:r>
          </w:p>
        </w:tc>
        <w:tc>
          <w:tcPr>
            <w:tcW w:w="5629" w:type="dxa"/>
            <w:gridSpan w:val="3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561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</w:tr>
      <w:tr w:rsidR="00761A17">
        <w:tc>
          <w:tcPr>
            <w:tcW w:w="249" w:type="dxa"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31" w:type="dxa"/>
            <w:gridSpan w:val="6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3.1. Название параграфа</w:t>
            </w:r>
          </w:p>
        </w:tc>
        <w:tc>
          <w:tcPr>
            <w:tcW w:w="5404" w:type="dxa"/>
            <w:gridSpan w:val="2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61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</w:tr>
      <w:tr w:rsidR="00761A17">
        <w:tc>
          <w:tcPr>
            <w:tcW w:w="249" w:type="dxa"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31" w:type="dxa"/>
            <w:gridSpan w:val="6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3.2. Название параграфа</w:t>
            </w:r>
          </w:p>
        </w:tc>
        <w:tc>
          <w:tcPr>
            <w:tcW w:w="5404" w:type="dxa"/>
            <w:gridSpan w:val="2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61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</w:tr>
      <w:tr w:rsidR="00761A17">
        <w:tc>
          <w:tcPr>
            <w:tcW w:w="249" w:type="dxa"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31" w:type="dxa"/>
            <w:gridSpan w:val="6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3.3. Название параграфа</w:t>
            </w:r>
          </w:p>
        </w:tc>
        <w:tc>
          <w:tcPr>
            <w:tcW w:w="5404" w:type="dxa"/>
            <w:gridSpan w:val="2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61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</w:tr>
      <w:tr w:rsidR="00761A17">
        <w:tc>
          <w:tcPr>
            <w:tcW w:w="249" w:type="dxa"/>
          </w:tcPr>
          <w:p w:rsidR="00761A17" w:rsidRDefault="00761A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98" w:type="dxa"/>
            <w:gridSpan w:val="4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Выводы по главе</w:t>
            </w:r>
          </w:p>
        </w:tc>
        <w:tc>
          <w:tcPr>
            <w:tcW w:w="6237" w:type="dxa"/>
            <w:gridSpan w:val="4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561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</w:tr>
      <w:tr w:rsidR="00761A17">
        <w:tc>
          <w:tcPr>
            <w:tcW w:w="1696" w:type="dxa"/>
            <w:gridSpan w:val="3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  <w:tc>
          <w:tcPr>
            <w:tcW w:w="7088" w:type="dxa"/>
            <w:gridSpan w:val="6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………………………………………………………………..</w:t>
            </w:r>
          </w:p>
        </w:tc>
        <w:tc>
          <w:tcPr>
            <w:tcW w:w="561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</w:tr>
      <w:tr w:rsidR="00761A17">
        <w:tc>
          <w:tcPr>
            <w:tcW w:w="6374" w:type="dxa"/>
            <w:gridSpan w:val="8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Список использованных источников и литературы</w:t>
            </w:r>
          </w:p>
        </w:tc>
        <w:tc>
          <w:tcPr>
            <w:tcW w:w="2410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...…………………</w:t>
            </w:r>
          </w:p>
        </w:tc>
        <w:tc>
          <w:tcPr>
            <w:tcW w:w="561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</w:tr>
      <w:tr w:rsidR="00761A17">
        <w:tc>
          <w:tcPr>
            <w:tcW w:w="1980" w:type="dxa"/>
            <w:gridSpan w:val="4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Приложение 1</w:t>
            </w:r>
          </w:p>
        </w:tc>
        <w:tc>
          <w:tcPr>
            <w:tcW w:w="6804" w:type="dxa"/>
            <w:gridSpan w:val="5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……………………………………………………………..</w:t>
            </w:r>
          </w:p>
        </w:tc>
        <w:tc>
          <w:tcPr>
            <w:tcW w:w="561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</w:t>
            </w:r>
          </w:p>
        </w:tc>
      </w:tr>
      <w:tr w:rsidR="00761A17">
        <w:tc>
          <w:tcPr>
            <w:tcW w:w="1980" w:type="dxa"/>
            <w:gridSpan w:val="4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Приложение 2</w:t>
            </w:r>
          </w:p>
        </w:tc>
        <w:tc>
          <w:tcPr>
            <w:tcW w:w="6804" w:type="dxa"/>
            <w:gridSpan w:val="5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561" w:type="dxa"/>
          </w:tcPr>
          <w:p w:rsidR="00761A17" w:rsidRDefault="008B1F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</w:tr>
    </w:tbl>
    <w:p w:rsidR="00761A17" w:rsidRDefault="00761A17">
      <w:pPr>
        <w:spacing w:line="259" w:lineRule="auto"/>
        <w:rPr>
          <w:rFonts w:ascii="Times New Roman" w:eastAsia="Times New Roman" w:hAnsi="Times New Roman" w:cs="Times New Roman"/>
        </w:rPr>
      </w:pPr>
    </w:p>
    <w:p w:rsidR="00761A17" w:rsidRDefault="008B1FC7">
      <w:pPr>
        <w:spacing w:line="259" w:lineRule="auto"/>
        <w:rPr>
          <w:rFonts w:ascii="Times New Roman" w:eastAsia="Times New Roman" w:hAnsi="Times New Roman" w:cs="Times New Roman"/>
        </w:rPr>
      </w:pPr>
      <w:r>
        <w:br w:type="page"/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ind w:firstLine="709"/>
        <w:jc w:val="right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4" w:name="_heading=h.3znysh7" w:colFirst="0" w:colLast="0"/>
      <w:bookmarkEnd w:id="4"/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Приложение 3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Образец оформления списка источников и литературы</w:t>
      </w: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ИСТОЧНИКОВ И ЛИТЕРАТУРЫ</w:t>
      </w: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Источники:</w:t>
      </w:r>
    </w:p>
    <w:p w:rsidR="00761A17" w:rsidRDefault="008B1F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 общественных объединениях: федеральный закон от 19.05.1995 № 82-ФЗ: измен. и доп. 20.12.2017 [Электронный ресурс] // Режим доступа: </w:t>
      </w:r>
      <w:hyperlink r:id="rId9"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http://www.consultant.ru/document/cons_doc_LAW_66</w:t>
        </w:r>
        <w:r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93/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(20.06.2018).</w:t>
      </w:r>
    </w:p>
    <w:p w:rsidR="00761A17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61A17" w:rsidRDefault="008B1FC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Литература:</w:t>
      </w:r>
    </w:p>
    <w:p w:rsidR="00761A17" w:rsidRDefault="008B1F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Бут У.К. Исследование. Шестнадцать уроков для начинающих авторов/ У.К. Бут, Г. Дж.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Коломб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Дж. М. Уильямс. – М.: Флинта, 2007. – 360 с.</w:t>
      </w:r>
    </w:p>
    <w:p w:rsidR="00761A17" w:rsidRDefault="008B1F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Костомаров П.И. Антропоцентризм как важнейший признак современной лингвистики [Электронны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ресурс] // Режим доступа: </w:t>
      </w:r>
      <w:r>
        <w:rPr>
          <w:rFonts w:ascii="Times New Roman" w:eastAsia="Times New Roman" w:hAnsi="Times New Roman" w:cs="Times New Roman"/>
          <w:color w:val="0563C1"/>
          <w:sz w:val="28"/>
          <w:szCs w:val="28"/>
          <w:u w:val="single"/>
        </w:rPr>
        <w:t xml:space="preserve">http://vestnik.kemsu.ru/jour/article/ </w:t>
      </w:r>
      <w:proofErr w:type="spellStart"/>
      <w:r>
        <w:rPr>
          <w:rFonts w:ascii="Times New Roman" w:eastAsia="Times New Roman" w:hAnsi="Times New Roman" w:cs="Times New Roman"/>
          <w:color w:val="0563C1"/>
          <w:sz w:val="28"/>
          <w:szCs w:val="28"/>
          <w:u w:val="single"/>
        </w:rPr>
        <w:t>view</w:t>
      </w:r>
      <w:proofErr w:type="spellEnd"/>
      <w:r>
        <w:rPr>
          <w:rFonts w:ascii="Times New Roman" w:eastAsia="Times New Roman" w:hAnsi="Times New Roman" w:cs="Times New Roman"/>
          <w:color w:val="0563C1"/>
          <w:sz w:val="28"/>
          <w:szCs w:val="28"/>
          <w:u w:val="single"/>
        </w:rPr>
        <w:t>/758/754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(23.04.2017).</w:t>
      </w:r>
    </w:p>
    <w:p w:rsidR="00761A17" w:rsidRDefault="008B1F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Лопатин В.В. Рождение слова: неологизмы и окказиональные образования. – М.: Наука, 1973. – 152 с.</w:t>
      </w:r>
    </w:p>
    <w:p w:rsidR="00761A17" w:rsidRDefault="008B1F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Набиева Е.А. Новые слова в медиакультуре современности // Журнали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стский ежегодник. – 2012. – № 1. – С. 117-119.</w:t>
      </w:r>
    </w:p>
    <w:p w:rsidR="00761A17" w:rsidRDefault="008B1F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Региональная экономика: учеб.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для вузов/ Под ред. Т.Г. Морозовой. – М.: Юнити, 2001. – 424 с.</w:t>
      </w:r>
    </w:p>
    <w:p w:rsidR="00761A17" w:rsidRPr="005C3823" w:rsidRDefault="008B1FC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C382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Gardner H. The mind’s new science: A history of the cognitive revolution. – N.Y.: Basic Books, 1985. – 448 p</w:t>
      </w:r>
      <w:r w:rsidRPr="005C382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:rsidR="00761A17" w:rsidRPr="005C3823" w:rsidRDefault="00761A1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761A17" w:rsidRPr="005C3823" w:rsidRDefault="00761A17">
      <w:pPr>
        <w:rPr>
          <w:lang w:val="en-US"/>
        </w:rPr>
      </w:pPr>
    </w:p>
    <w:sectPr w:rsidR="00761A17" w:rsidRPr="005C3823">
      <w:footerReference w:type="default" r:id="rId10"/>
      <w:pgSz w:w="11906" w:h="16838"/>
      <w:pgMar w:top="1134" w:right="850" w:bottom="1134" w:left="1701" w:header="708" w:footer="2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1FC7" w:rsidRDefault="008B1FC7">
      <w:pPr>
        <w:spacing w:after="0" w:line="240" w:lineRule="auto"/>
      </w:pPr>
      <w:r>
        <w:separator/>
      </w:r>
    </w:p>
  </w:endnote>
  <w:endnote w:type="continuationSeparator" w:id="0">
    <w:p w:rsidR="008B1FC7" w:rsidRDefault="008B1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4BF502F0-F28C-41B6-9507-61AE57734F2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A29EF73-94A1-4B6A-A27C-3DEAEC7A91D9}"/>
    <w:embedBold r:id="rId3" w:fontKey="{73D91070-B743-467B-BABA-88846B4B5F2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4CE96A7A-F6D7-4B46-865C-5F0BF5491484}"/>
    <w:embedItalic r:id="rId5" w:fontKey="{378107C1-C876-4DB9-BCAE-3DAC6734A5D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FA261DD-FD6F-494D-98CE-2736D4C2BC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A17" w:rsidRDefault="008B1FC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177F7E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761A17" w:rsidRDefault="00761A1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1FC7" w:rsidRDefault="008B1FC7">
      <w:pPr>
        <w:spacing w:after="0" w:line="240" w:lineRule="auto"/>
      </w:pPr>
      <w:r>
        <w:separator/>
      </w:r>
    </w:p>
  </w:footnote>
  <w:footnote w:type="continuationSeparator" w:id="0">
    <w:p w:rsidR="008B1FC7" w:rsidRDefault="008B1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F026D"/>
    <w:multiLevelType w:val="multilevel"/>
    <w:tmpl w:val="6C9C22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227B63"/>
    <w:multiLevelType w:val="multilevel"/>
    <w:tmpl w:val="93B621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41071"/>
    <w:multiLevelType w:val="multilevel"/>
    <w:tmpl w:val="C9D6AE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DF2085"/>
    <w:multiLevelType w:val="multilevel"/>
    <w:tmpl w:val="825A31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77A48"/>
    <w:multiLevelType w:val="multilevel"/>
    <w:tmpl w:val="DEAE58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883486"/>
    <w:multiLevelType w:val="multilevel"/>
    <w:tmpl w:val="6D0276B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A17"/>
    <w:rsid w:val="00177F7E"/>
    <w:rsid w:val="00582A1B"/>
    <w:rsid w:val="005C3823"/>
    <w:rsid w:val="00761A17"/>
    <w:rsid w:val="008B1FC7"/>
    <w:rsid w:val="00996534"/>
    <w:rsid w:val="00AD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5FD86"/>
  <w15:docId w15:val="{D5F361A3-FA91-4E97-AA68-889F470ED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81" w:line="259" w:lineRule="auto"/>
      <w:ind w:left="21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6693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icu3K7CKFSbxguEma7jg8sPr0Q==">CgMxLjAyCGguZ2pkZ3hzMgloLjMwajB6bGwyCWguMWZvYjl0ZTIJaC4zem55c2g3OAByITFxbWZDbjFQWEJnUHRsSUhaVkRockpQZVN3bzFhaU5aNQ==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7466</Words>
  <Characters>42558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Королёва Светлана Александровна</cp:lastModifiedBy>
  <cp:revision>3</cp:revision>
  <dcterms:created xsi:type="dcterms:W3CDTF">2024-12-11T16:59:00Z</dcterms:created>
  <dcterms:modified xsi:type="dcterms:W3CDTF">2024-12-16T08:35:00Z</dcterms:modified>
</cp:coreProperties>
</file>