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FB" w:rsidRDefault="00A575FB" w:rsidP="00A57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статей</w:t>
      </w:r>
    </w:p>
    <w:p w:rsidR="00A575FB" w:rsidRDefault="00A575FB" w:rsidP="00A575F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575FB" w:rsidRDefault="00A575FB" w:rsidP="00A57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5FB">
        <w:rPr>
          <w:rFonts w:ascii="Times New Roman" w:hAnsi="Times New Roman"/>
          <w:sz w:val="28"/>
          <w:szCs w:val="28"/>
          <w:u w:val="single"/>
        </w:rPr>
        <w:t>Именем файла должна быть фамилия автора</w:t>
      </w:r>
      <w:r>
        <w:rPr>
          <w:rFonts w:ascii="Times New Roman" w:hAnsi="Times New Roman"/>
          <w:sz w:val="28"/>
          <w:szCs w:val="28"/>
        </w:rPr>
        <w:t xml:space="preserve">. Объем – </w:t>
      </w:r>
      <w:r>
        <w:rPr>
          <w:rFonts w:ascii="Times New Roman" w:hAnsi="Times New Roman"/>
          <w:b/>
          <w:bCs/>
          <w:sz w:val="28"/>
          <w:szCs w:val="28"/>
        </w:rPr>
        <w:t>4–</w:t>
      </w:r>
      <w:r>
        <w:rPr>
          <w:rFonts w:ascii="Times New Roman" w:hAnsi="Times New Roman"/>
          <w:b/>
          <w:bCs/>
          <w:sz w:val="28"/>
          <w:szCs w:val="28"/>
        </w:rPr>
        <w:t>7 страниц</w:t>
      </w:r>
      <w:r>
        <w:rPr>
          <w:rFonts w:ascii="Times New Roman" w:hAnsi="Times New Roman"/>
          <w:b/>
          <w:bCs/>
          <w:sz w:val="28"/>
          <w:szCs w:val="28"/>
        </w:rPr>
        <w:t xml:space="preserve"> (не более)</w:t>
      </w:r>
      <w:r>
        <w:rPr>
          <w:rFonts w:ascii="Times New Roman" w:hAnsi="Times New Roman"/>
          <w:sz w:val="28"/>
          <w:szCs w:val="28"/>
        </w:rPr>
        <w:t>.</w:t>
      </w:r>
    </w:p>
    <w:p w:rsidR="00A575FB" w:rsidRDefault="00A575FB" w:rsidP="00A575F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статьи должно </w:t>
      </w:r>
      <w:r w:rsidRPr="00A575FB">
        <w:rPr>
          <w:rFonts w:ascii="Times New Roman" w:hAnsi="Times New Roman"/>
          <w:b/>
          <w:sz w:val="28"/>
          <w:szCs w:val="28"/>
        </w:rPr>
        <w:t>СТРОГО СООТВЕТСТВОВАТЬ ОБРАЗЦУ</w:t>
      </w:r>
      <w:r>
        <w:rPr>
          <w:rFonts w:ascii="Times New Roman" w:hAnsi="Times New Roman"/>
          <w:sz w:val="28"/>
          <w:szCs w:val="28"/>
        </w:rPr>
        <w:t xml:space="preserve"> (см. ниже).</w:t>
      </w:r>
    </w:p>
    <w:p w:rsidR="00A575FB" w:rsidRDefault="00A575FB" w:rsidP="00A575FB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поля – </w:t>
      </w:r>
      <w:r w:rsidRPr="00A575FB">
        <w:rPr>
          <w:rFonts w:ascii="Times New Roman" w:hAnsi="Times New Roman"/>
          <w:b/>
          <w:sz w:val="28"/>
          <w:szCs w:val="28"/>
        </w:rPr>
        <w:t>2 см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Шрифт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A57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A57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, междустрочный интервал – </w:t>
      </w:r>
      <w:r>
        <w:rPr>
          <w:rFonts w:ascii="Times New Roman" w:hAnsi="Times New Roman"/>
          <w:b/>
          <w:bCs/>
          <w:sz w:val="28"/>
          <w:szCs w:val="28"/>
        </w:rPr>
        <w:t>одинарный</w:t>
      </w:r>
      <w:r>
        <w:rPr>
          <w:rFonts w:ascii="Times New Roman" w:hAnsi="Times New Roman"/>
          <w:sz w:val="28"/>
          <w:szCs w:val="28"/>
        </w:rPr>
        <w:t xml:space="preserve">. Абзацный отступ (красная строка) – </w:t>
      </w:r>
      <w:r>
        <w:rPr>
          <w:rFonts w:ascii="Times New Roman" w:hAnsi="Times New Roman"/>
          <w:b/>
          <w:bCs/>
          <w:sz w:val="28"/>
          <w:szCs w:val="28"/>
        </w:rPr>
        <w:t>1,25</w:t>
      </w:r>
      <w:r>
        <w:rPr>
          <w:rFonts w:ascii="Times New Roman" w:hAnsi="Times New Roman"/>
          <w:sz w:val="28"/>
          <w:szCs w:val="28"/>
        </w:rPr>
        <w:t xml:space="preserve">. Интервал между абзацами – </w:t>
      </w:r>
      <w:r>
        <w:rPr>
          <w:rFonts w:ascii="Times New Roman" w:hAnsi="Times New Roman"/>
          <w:b/>
          <w:bCs/>
          <w:sz w:val="28"/>
          <w:szCs w:val="28"/>
        </w:rPr>
        <w:t>0 пт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575FB" w:rsidRDefault="00A575FB" w:rsidP="00A57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Ссылки на цитируемые научные источники следует указывать в квадратных скобках в формате [Автор год издания: номер страницы], для Интернет-источников – [Автор или название ресурса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>].</w:t>
      </w:r>
      <w:r w:rsidR="005D34A7">
        <w:rPr>
          <w:rFonts w:ascii="Times New Roman" w:hAnsi="Times New Roman"/>
          <w:sz w:val="28"/>
          <w:szCs w:val="28"/>
        </w:rPr>
        <w:t xml:space="preserve"> (см. образец ниже)</w:t>
      </w:r>
    </w:p>
    <w:p w:rsidR="00A575FB" w:rsidRDefault="00A575FB" w:rsidP="005D34A7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Список литературы должен быть выстроен по алфавиту, список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нумеруется.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Обязательно указывается название издательства, а также общее количе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ство страниц источника. Ес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ли это статья из сборника,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 xml:space="preserve">указываются 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номера страниц, на которых напечатана статья. Для научных журналов указываются год и номер издания, а также страницы, на которых напечатана статья.</w:t>
      </w:r>
    </w:p>
    <w:p w:rsidR="00A575FB" w:rsidRDefault="00A575FB" w:rsidP="00A575FB">
      <w:pPr>
        <w:spacing w:before="280" w:after="280" w:line="240" w:lineRule="auto"/>
        <w:ind w:firstLine="709"/>
        <w:jc w:val="center"/>
      </w:pPr>
      <w:r>
        <w:t>ОБРАЗЕЦ ОФОРМЛЕНИЯ</w:t>
      </w:r>
    </w:p>
    <w:tbl>
      <w:tblPr>
        <w:tblW w:w="957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A575FB" w:rsidTr="00AD4677"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Н. В. Бычкова      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← жирный шрифт, без отступа</w:t>
            </w:r>
          </w:p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Тверской государственный университет, 4 курс       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← </w:t>
            </w:r>
            <w:r>
              <w:rPr>
                <w:rFonts w:ascii="Courier New" w:hAnsi="Courier New" w:cs="Courier New"/>
                <w:b/>
                <w:i/>
                <w:sz w:val="24"/>
                <w:szCs w:val="24"/>
              </w:rPr>
              <w:t>курсив, без отступа</w:t>
            </w:r>
          </w:p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Научный руководитель: к.ф.н. С. А. Колосов              </w:t>
            </w:r>
          </w:p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575FB" w:rsidRDefault="00A575FB" w:rsidP="00AD467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РЕКЛАМНОЕ ОБЪЯВЛЕНИЕ КАК ТРАНСЛЯТОР ЦЕННОСТЕЙ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← по                                                                                                                                    </w:t>
            </w:r>
          </w:p>
          <w:p w:rsidR="00A575FB" w:rsidRDefault="00A575FB" w:rsidP="00AD46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 xml:space="preserve">                                                         </w:t>
            </w:r>
            <w:proofErr w:type="gramStart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центру,   </w:t>
            </w:r>
            <w:proofErr w:type="gramEnd"/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                                                                                                         жирный шрифт,                                                                                                                  заглавные буквы</w:t>
            </w:r>
          </w:p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</w:t>
            </w:r>
          </w:p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>Реклама относится к мифу, то есть к особому способу означивания, совокупности коннотаций, которые связаны с устоявшимися значениями и вызывают привычные ассоциации [Барт 1989: 512].</w:t>
            </w:r>
          </w:p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 Основоположником самого понятия рекламы считается один из первых американских прикладных психологов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Уолтер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Скотт [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Деревянко </w:t>
            </w:r>
            <w:r w:rsidRPr="00A575FB">
              <w:rPr>
                <w:rStyle w:val="a3"/>
                <w:rFonts w:ascii="Times New Roman" w:hAnsi="Times New Roman"/>
                <w:i w:val="0"/>
                <w:spacing w:val="-8"/>
                <w:sz w:val="24"/>
                <w:szCs w:val="24"/>
                <w:lang w:val="fr-FR"/>
              </w:rPr>
              <w:t>URL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].</w:t>
            </w:r>
            <w:r w:rsidR="0021344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По мнению учёного, …</w:t>
            </w:r>
          </w:p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ЛИТЕРАТУРА   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← по центру, заглавные буквы</w:t>
            </w:r>
          </w:p>
          <w:p w:rsidR="00A575FB" w:rsidRDefault="00A575FB" w:rsidP="00AD46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Барт Р. Избранные работы. Семиотика. Поэтика. М.: Прогресс, 1989. 616 с.   </w:t>
            </w:r>
          </w:p>
          <w:p w:rsidR="00A575FB" w:rsidRDefault="00A575FB" w:rsidP="00AD4677">
            <w:pPr>
              <w:widowControl w:val="0"/>
              <w:spacing w:after="0" w:line="240" w:lineRule="auto"/>
              <w:ind w:firstLine="425"/>
              <w:jc w:val="both"/>
            </w:pPr>
            <w:r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Деревянко А. Р., Зыбин О. С. Социальная реклама коммуникационной деятельности </w:t>
            </w:r>
            <w:r>
              <w:rPr>
                <w:rStyle w:val="st"/>
                <w:rFonts w:ascii="Times New Roman" w:hAnsi="Times New Roman"/>
                <w:spacing w:val="-8"/>
                <w:sz w:val="24"/>
                <w:szCs w:val="24"/>
              </w:rPr>
              <w:t>в</w:t>
            </w:r>
            <w:r>
              <w:rPr>
                <w:rStyle w:val="st"/>
                <w:rFonts w:ascii="Times New Roman" w:hAnsi="Times New Roman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/>
                <w:spacing w:val="-8"/>
                <w:sz w:val="24"/>
                <w:szCs w:val="24"/>
              </w:rPr>
              <w:t xml:space="preserve">современных условиях.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URL</w:t>
            </w:r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: </w:t>
            </w:r>
            <w:r w:rsidRPr="000E1894">
              <w:rPr>
                <w:rStyle w:val="a3"/>
                <w:rFonts w:ascii="Times New Roman" w:hAnsi="Times New Roman"/>
                <w:spacing w:val="-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http</w:t>
            </w:r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>://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www</w:t>
            </w:r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socrekla</w:t>
            </w:r>
            <w:bookmarkStart w:id="0" w:name="_GoBack"/>
            <w:bookmarkEnd w:id="0"/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ma</w:t>
            </w:r>
            <w:proofErr w:type="spellEnd"/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ru</w:t>
            </w:r>
            <w:proofErr w:type="spellEnd"/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analytics</w:t>
            </w:r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list</w:t>
            </w:r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php</w:t>
            </w:r>
            <w:proofErr w:type="spellEnd"/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ELEMENT</w:t>
            </w:r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ID</w:t>
            </w:r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=6507&amp; 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SECTION</w:t>
            </w:r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_</w:t>
            </w:r>
            <w:r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ID</w:t>
            </w:r>
            <w:r w:rsidRPr="000E189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=122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(дата обращения: 09.03.2019). </w:t>
            </w:r>
          </w:p>
          <w:p w:rsidR="00A575FB" w:rsidRDefault="00A575FB" w:rsidP="00AD4677">
            <w:pPr>
              <w:widowControl w:val="0"/>
              <w:spacing w:after="0" w:line="240" w:lineRule="auto"/>
              <w:ind w:firstLine="425"/>
              <w:jc w:val="both"/>
              <w:rPr>
                <w:rFonts w:ascii="Times New Roman" w:hAnsi="Times New Roman"/>
                <w:iCs/>
                <w:spacing w:val="-8"/>
                <w:sz w:val="24"/>
                <w:szCs w:val="24"/>
              </w:rPr>
            </w:pPr>
            <w:r>
              <w:rPr>
                <w:rFonts w:cs="Calibri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Н. Проявление гендера в речевом поведении носителей русского языка: монография. Гродно: Гродненский гос. ун-т им. Я. Купалы, 2006.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tgtFrame="_top">
              <w:r>
                <w:rPr>
                  <w:rFonts w:ascii="Times New Roman" w:hAnsi="Times New Roman"/>
                  <w:sz w:val="24"/>
                  <w:szCs w:val="24"/>
                </w:rPr>
                <w:t>http://ebooks.grsu.by/kavinkina_gender/index.htm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10.10.2018). </w:t>
            </w:r>
          </w:p>
          <w:p w:rsidR="00A575FB" w:rsidRDefault="00A575FB" w:rsidP="00AD467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Костюченко Т. Я. Ценностные основания культуры США: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… канд.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наук. Кемерово, 2006. 192 с.</w:t>
            </w:r>
          </w:p>
          <w:p w:rsidR="00A575FB" w:rsidRDefault="00A575FB" w:rsidP="005D34A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Резниченко Л.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Диминутивность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средство моделирования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лингвокультурной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лингвопсихологической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картины мира // Вестник Северного (Арктического) федерального университета. Серия: Гуманитарные и социальные науки. 2009. №5. С. 85-92.</w:t>
            </w:r>
          </w:p>
        </w:tc>
      </w:tr>
    </w:tbl>
    <w:p w:rsidR="00924131" w:rsidRDefault="00924131" w:rsidP="00213443"/>
    <w:sectPr w:rsidR="00924131" w:rsidSect="005D34A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FB"/>
    <w:rsid w:val="00213443"/>
    <w:rsid w:val="005D34A7"/>
    <w:rsid w:val="00924131"/>
    <w:rsid w:val="00A5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365C9"/>
  <w15:chartTrackingRefBased/>
  <w15:docId w15:val="{3489E4B2-3509-44CB-8DBB-0BA7DCF5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5F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575FB"/>
    <w:rPr>
      <w:i/>
      <w:iCs/>
    </w:rPr>
  </w:style>
  <w:style w:type="character" w:customStyle="1" w:styleId="st">
    <w:name w:val="st"/>
    <w:basedOn w:val="a0"/>
    <w:qFormat/>
    <w:rsid w:val="00A57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books.grsu.by/kavinkina_gender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Tver State University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 Сергей Александрович</dc:creator>
  <cp:keywords/>
  <dc:description/>
  <cp:lastModifiedBy>Колосов Сергей Александрович</cp:lastModifiedBy>
  <cp:revision>3</cp:revision>
  <dcterms:created xsi:type="dcterms:W3CDTF">2024-04-25T15:38:00Z</dcterms:created>
  <dcterms:modified xsi:type="dcterms:W3CDTF">2024-04-25T15:51:00Z</dcterms:modified>
</cp:coreProperties>
</file>